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  <w:highlight w:val="none"/>
        </w:rPr>
        <w:t>10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 </w:t>
      </w:r>
      <w:r>
        <w:rPr>
          <w:rFonts w:ascii="Arial" w:hAnsi="Arial" w:cs="Arial"/>
          <w:b/>
          <w:sz w:val="24"/>
          <w:szCs w:val="24"/>
          <w:highlight w:val="none"/>
        </w:rPr>
        <w:t>R4-230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9893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</w:t>
      </w:r>
    </w:p>
    <w:p>
      <w:pPr>
        <w:widowControl w:val="0"/>
        <w:tabs>
          <w:tab w:val="right" w:pos="9639"/>
        </w:tabs>
        <w:spacing w:after="0"/>
        <w:rPr>
          <w:rFonts w:ascii="Arial" w:hAnsi="Arial" w:eastAsia="Times New Roman" w:cs="Arial"/>
          <w:b/>
          <w:sz w:val="24"/>
          <w:szCs w:val="24"/>
          <w:highlight w:val="none"/>
        </w:rPr>
      </w:pPr>
      <w:r>
        <w:rPr>
          <w:rFonts w:ascii="Arial" w:hAnsi="Arial" w:eastAsia="Times New Roman" w:cs="Arial"/>
          <w:b/>
          <w:sz w:val="24"/>
          <w:szCs w:val="24"/>
          <w:highlight w:val="none"/>
        </w:rPr>
        <w:t>Incheon, South Korea, 22 – 26 May 2023</w:t>
      </w:r>
    </w:p>
    <w:p>
      <w:pPr>
        <w:widowControl w:val="0"/>
        <w:tabs>
          <w:tab w:val="right" w:pos="9639"/>
        </w:tabs>
        <w:spacing w:after="0"/>
        <w:rPr>
          <w:rFonts w:ascii="Arial" w:hAnsi="Arial" w:eastAsia="Times New Roman" w:cs="Arial"/>
          <w:b/>
          <w:sz w:val="24"/>
          <w:szCs w:val="24"/>
          <w:highlight w:val="none"/>
        </w:rPr>
      </w:pPr>
    </w:p>
    <w:p>
      <w:pPr>
        <w:tabs>
          <w:tab w:val="left" w:pos="1985"/>
        </w:tabs>
        <w:jc w:val="both"/>
        <w:rPr>
          <w:rFonts w:hint="default" w:ascii="Arial" w:hAnsi="Arial" w:cs="Arial"/>
          <w:sz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highlight w:val="none"/>
        </w:rPr>
        <w:t xml:space="preserve">Title: 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ascii="Arial" w:hAnsi="Arial" w:cs="Arial"/>
          <w:sz w:val="22"/>
          <w:highlight w:val="none"/>
          <w:lang w:eastAsia="zh-CN"/>
        </w:rPr>
        <w:t>WF</w:t>
      </w:r>
      <w:r>
        <w:rPr>
          <w:rFonts w:hint="eastAsia" w:ascii="Arial" w:hAnsi="Arial" w:cs="Arial"/>
          <w:sz w:val="22"/>
          <w:highlight w:val="none"/>
          <w:lang w:eastAsia="zh-CN"/>
        </w:rPr>
        <w:t> on system parameters and RF requirements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cs="Arial"/>
          <w:sz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highlight w:val="none"/>
        </w:rPr>
        <w:t>Agenda Item: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hint="eastAsia" w:ascii="Arial" w:hAnsi="Arial" w:cs="Arial"/>
          <w:b/>
          <w:sz w:val="22"/>
          <w:highlight w:val="none"/>
          <w:lang w:val="en-US" w:eastAsia="zh-CN"/>
        </w:rPr>
        <w:t xml:space="preserve">     </w:t>
      </w:r>
      <w:r>
        <w:rPr>
          <w:rFonts w:hint="eastAsia" w:ascii="Arial" w:hAnsi="Arial" w:cs="Arial"/>
          <w:sz w:val="22"/>
          <w:highlight w:val="none"/>
          <w:lang w:val="en-US" w:eastAsia="zh-CN"/>
        </w:rPr>
        <w:t>8.29.7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highlight w:val="none"/>
        </w:rPr>
        <w:t xml:space="preserve">Source: 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hint="eastAsia" w:ascii="Arial" w:hAnsi="Arial" w:cs="Arial"/>
          <w:sz w:val="22"/>
          <w:highlight w:val="none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highlight w:val="none"/>
          <w:lang w:eastAsia="zh-CN"/>
        </w:rPr>
      </w:pPr>
      <w:r>
        <w:rPr>
          <w:rFonts w:ascii="Arial" w:hAnsi="Arial" w:cs="Arial"/>
          <w:b/>
          <w:sz w:val="22"/>
          <w:highlight w:val="none"/>
        </w:rPr>
        <w:t>Document for: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ascii="Arial" w:hAnsi="Arial" w:cs="Arial"/>
          <w:sz w:val="22"/>
          <w:highlight w:val="none"/>
          <w:lang w:eastAsia="zh-CN"/>
        </w:rPr>
        <w:t>Approval</w:t>
      </w:r>
    </w:p>
    <w:p>
      <w:pPr>
        <w:pStyle w:val="2"/>
        <w:rPr>
          <w:highlight w:val="none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Agreement</w:t>
      </w:r>
    </w:p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431" w:hanging="431"/>
        <w:textAlignment w:val="auto"/>
        <w:outlineLvl w:val="1"/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System parameter and declaration</w:t>
      </w:r>
    </w:p>
    <w:p>
      <w:pPr>
        <w:pStyle w:val="87"/>
        <w:spacing w:after="120"/>
        <w:ind w:firstLine="0" w:firstLineChars="0"/>
        <w:rPr>
          <w:rFonts w:hint="default" w:eastAsiaTheme="minorEastAsia"/>
          <w:i w:val="0"/>
          <w:iCs/>
          <w:color w:val="0070C0"/>
          <w:highlight w:val="none"/>
          <w:lang w:val="en-US" w:eastAsia="zh-CN"/>
        </w:rPr>
      </w:pPr>
    </w:p>
    <w:p>
      <w:pPr>
        <w:rPr>
          <w:b/>
          <w:bCs/>
          <w:iCs/>
          <w:highlight w:val="none"/>
          <w:lang w:val="en-US" w:eastAsia="zh-CN"/>
        </w:rPr>
      </w:pPr>
      <w:r>
        <w:rPr>
          <w:rFonts w:hint="eastAsia"/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 w:eastAsia="zh-CN"/>
        </w:rPr>
        <w:t>1-1</w:t>
      </w:r>
      <w:r>
        <w:rPr>
          <w:rFonts w:hint="eastAsia"/>
          <w:b/>
          <w:bCs/>
          <w:iCs/>
          <w:highlight w:val="none"/>
          <w:lang w:val="en-US"/>
        </w:rPr>
        <w:t xml:space="preserve">: </w:t>
      </w:r>
      <w:r>
        <w:rPr>
          <w:rFonts w:hint="eastAsia"/>
          <w:b/>
          <w:bCs/>
          <w:iCs/>
          <w:highlight w:val="none"/>
          <w:lang w:val="en-US" w:eastAsia="zh-CN"/>
        </w:rPr>
        <w:t xml:space="preserve"> System parameter for NCR-MT</w:t>
      </w:r>
    </w:p>
    <w:p>
      <w:pPr>
        <w:pStyle w:val="87"/>
        <w:numPr>
          <w:ilvl w:val="0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Agreement: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Proposal 1 agreed</w:t>
      </w:r>
    </w:p>
    <w:p>
      <w:pPr>
        <w:pStyle w:val="87"/>
        <w:numPr>
          <w:ilvl w:val="2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All the channel bandwidths per band should be optional for NCR_MT.</w:t>
      </w:r>
    </w:p>
    <w:p>
      <w:pPr>
        <w:rPr>
          <w:b/>
          <w:bCs/>
          <w:iCs/>
          <w:highlight w:val="none"/>
          <w:lang w:val="en-US" w:eastAsia="zh-CN"/>
        </w:rPr>
      </w:pPr>
      <w:r>
        <w:rPr>
          <w:rFonts w:hint="eastAsia"/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 w:eastAsia="zh-CN"/>
        </w:rPr>
        <w:t>1-3-1</w:t>
      </w:r>
      <w:r>
        <w:rPr>
          <w:rFonts w:hint="eastAsia"/>
          <w:b/>
          <w:bCs/>
          <w:iCs/>
          <w:highlight w:val="none"/>
          <w:lang w:val="en-US"/>
        </w:rPr>
        <w:t xml:space="preserve">: </w:t>
      </w:r>
      <w:r>
        <w:rPr>
          <w:rFonts w:hint="eastAsia"/>
          <w:b/>
          <w:bCs/>
          <w:iCs/>
          <w:highlight w:val="none"/>
          <w:lang w:val="en-US" w:eastAsia="zh-CN"/>
        </w:rPr>
        <w:t xml:space="preserve">  Types declaration for NCR</w:t>
      </w:r>
    </w:p>
    <w:p>
      <w:pPr>
        <w:pStyle w:val="87"/>
        <w:numPr>
          <w:ilvl w:val="0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 xml:space="preserve">Agreement: 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No restriction on the applicable types on NCR-MT and NCR-fwd link (BS side and UE sdide) from RF core requirements perspective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FFS whether needs to consider mix types for the introduction of conformance test cases and will be further discussed during performance stage</w:t>
      </w:r>
    </w:p>
    <w:p>
      <w:pPr>
        <w:rPr>
          <w:b/>
          <w:bCs/>
          <w:iCs/>
          <w:highlight w:val="none"/>
          <w:lang w:val="en-US" w:eastAsia="zh-CN"/>
        </w:rPr>
      </w:pPr>
      <w:r>
        <w:rPr>
          <w:rFonts w:hint="eastAsia"/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 w:eastAsia="zh-CN"/>
        </w:rPr>
        <w:t>1-3-2</w:t>
      </w:r>
      <w:r>
        <w:rPr>
          <w:rFonts w:hint="eastAsia"/>
          <w:b/>
          <w:bCs/>
          <w:iCs/>
          <w:highlight w:val="none"/>
          <w:lang w:val="en-US"/>
        </w:rPr>
        <w:t xml:space="preserve">: </w:t>
      </w:r>
      <w:r>
        <w:rPr>
          <w:rFonts w:hint="eastAsia"/>
          <w:b/>
          <w:bCs/>
          <w:iCs/>
          <w:highlight w:val="none"/>
          <w:lang w:val="en-US" w:eastAsia="zh-CN"/>
        </w:rPr>
        <w:t>Class declarations for NCR</w:t>
      </w:r>
    </w:p>
    <w:p>
      <w:pPr>
        <w:pStyle w:val="87"/>
        <w:numPr>
          <w:ilvl w:val="0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Agreement: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 xml:space="preserve">NCR-fwd link DL side (input and output) : same class applied 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NCR-fwd link UL side (input and output): same class applied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 xml:space="preserve">NCR-fwd link DL and UL: Separate classes can be applied 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 xml:space="preserve">NCR-MT vs NCR-fwd UL: same class applied </w:t>
      </w:r>
    </w:p>
    <w:p>
      <w:pPr>
        <w:rPr>
          <w:b/>
          <w:bCs/>
          <w:iCs/>
          <w:highlight w:val="none"/>
          <w:lang w:val="en-US"/>
        </w:rPr>
      </w:pPr>
      <w:bookmarkStart w:id="0" w:name="_Hlk135562231"/>
    </w:p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431" w:hanging="431"/>
        <w:textAlignment w:val="auto"/>
        <w:outlineLvl w:val="1"/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. RF requirement for NCR-MT</w:t>
      </w:r>
    </w:p>
    <w:p>
      <w:pPr>
        <w:rPr>
          <w:b/>
          <w:bCs/>
          <w:iCs/>
          <w:highlight w:val="none"/>
          <w:lang w:val="en-US"/>
        </w:rPr>
      </w:pPr>
    </w:p>
    <w:p>
      <w:pPr>
        <w:rPr>
          <w:b/>
          <w:bCs/>
          <w:iCs/>
          <w:highlight w:val="none"/>
          <w:lang w:val="en-US"/>
        </w:rPr>
      </w:pPr>
      <w:r>
        <w:rPr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/>
        </w:rPr>
        <w:t>3</w:t>
      </w:r>
      <w:r>
        <w:rPr>
          <w:b/>
          <w:bCs/>
          <w:iCs/>
          <w:highlight w:val="none"/>
          <w:lang w:val="en-US"/>
        </w:rPr>
        <w:t>-</w:t>
      </w:r>
      <w:r>
        <w:rPr>
          <w:rFonts w:hint="eastAsia"/>
          <w:b/>
          <w:bCs/>
          <w:iCs/>
          <w:highlight w:val="none"/>
          <w:lang w:val="en-US"/>
        </w:rPr>
        <w:t xml:space="preserve">1-1   </w:t>
      </w:r>
      <w:r>
        <w:rPr>
          <w:b/>
          <w:bCs/>
          <w:iCs/>
          <w:highlight w:val="none"/>
          <w:lang w:val="en-US"/>
        </w:rPr>
        <w:t xml:space="preserve">Output power dynamics and power control </w:t>
      </w:r>
    </w:p>
    <w:p>
      <w:pPr>
        <w:pStyle w:val="87"/>
        <w:numPr>
          <w:ilvl w:val="0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Agreement: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For local area NCR-MT: reuse legacy UE requirements (</w:t>
      </w:r>
      <w:r>
        <w:rPr>
          <w:rFonts w:hint="eastAsia"/>
          <w:highlight w:val="none"/>
        </w:rPr>
        <w:t xml:space="preserve">relative power tolerance and aggregated power tolerance </w:t>
      </w:r>
      <w:r>
        <w:rPr>
          <w:highlight w:val="none"/>
        </w:rPr>
        <w:t xml:space="preserve">requirements) 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 xml:space="preserve">For wide area NCR-MT:[reuse </w:t>
      </w:r>
      <w:r>
        <w:rPr>
          <w:rFonts w:hint="eastAsia"/>
          <w:highlight w:val="none"/>
        </w:rPr>
        <w:t>the output dynamic range requirement</w:t>
      </w:r>
      <w:r>
        <w:rPr>
          <w:highlight w:val="none"/>
        </w:rPr>
        <w:t xml:space="preserve">, </w:t>
      </w:r>
      <w:r>
        <w:rPr>
          <w:rFonts w:hint="eastAsia"/>
          <w:highlight w:val="none"/>
        </w:rPr>
        <w:t xml:space="preserve">relative power tolerance and aggregated power tolerance </w:t>
      </w:r>
      <w:r>
        <w:rPr>
          <w:highlight w:val="none"/>
        </w:rPr>
        <w:t>requirements from wide area</w:t>
      </w:r>
      <w:r>
        <w:rPr>
          <w:rFonts w:hint="eastAsia"/>
          <w:highlight w:val="none"/>
        </w:rPr>
        <w:t xml:space="preserve"> IAB-MT</w:t>
      </w:r>
      <w:r>
        <w:rPr>
          <w:highlight w:val="none"/>
        </w:rPr>
        <w:t>]</w:t>
      </w:r>
    </w:p>
    <w:p>
      <w:pPr>
        <w:rPr>
          <w:b/>
          <w:bCs/>
          <w:iCs/>
          <w:highlight w:val="none"/>
          <w:lang w:val="en-US"/>
        </w:rPr>
      </w:pPr>
      <w:r>
        <w:rPr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/>
        </w:rPr>
        <w:t>3</w:t>
      </w:r>
      <w:r>
        <w:rPr>
          <w:b/>
          <w:bCs/>
          <w:iCs/>
          <w:highlight w:val="none"/>
          <w:lang w:val="en-US"/>
        </w:rPr>
        <w:t>-</w:t>
      </w:r>
      <w:r>
        <w:rPr>
          <w:rFonts w:hint="eastAsia"/>
          <w:b/>
          <w:bCs/>
          <w:iCs/>
          <w:highlight w:val="none"/>
          <w:lang w:val="en-US"/>
        </w:rPr>
        <w:t xml:space="preserve">1-2   Transmitter </w:t>
      </w:r>
      <w:r>
        <w:rPr>
          <w:b/>
          <w:bCs/>
          <w:iCs/>
          <w:highlight w:val="none"/>
          <w:lang w:val="en-US"/>
        </w:rPr>
        <w:t>ON-OFF power</w:t>
      </w:r>
      <w:r>
        <w:rPr>
          <w:rFonts w:hint="eastAsia"/>
          <w:b/>
          <w:bCs/>
          <w:iCs/>
          <w:highlight w:val="none"/>
          <w:lang w:val="en-US"/>
        </w:rPr>
        <w:t xml:space="preserve"> and transition period</w:t>
      </w:r>
      <w:r>
        <w:rPr>
          <w:b/>
          <w:bCs/>
          <w:iCs/>
          <w:highlight w:val="none"/>
          <w:lang w:val="en-US"/>
        </w:rPr>
        <w:t xml:space="preserve"> </w:t>
      </w:r>
    </w:p>
    <w:p>
      <w:pPr>
        <w:pStyle w:val="87"/>
        <w:numPr>
          <w:ilvl w:val="0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Agreement: Further discuss below two options: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Option 1: IAB-MT approach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 xml:space="preserve">Option 2: Legacy UE approach </w:t>
      </w:r>
    </w:p>
    <w:p>
      <w:pPr>
        <w:rPr>
          <w:b/>
          <w:bCs/>
          <w:iCs/>
          <w:highlight w:val="none"/>
          <w:lang w:val="en-US"/>
        </w:rPr>
      </w:pPr>
      <w:r>
        <w:rPr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/>
        </w:rPr>
        <w:t>3</w:t>
      </w:r>
      <w:r>
        <w:rPr>
          <w:b/>
          <w:bCs/>
          <w:iCs/>
          <w:highlight w:val="none"/>
          <w:lang w:val="en-US"/>
        </w:rPr>
        <w:t>-</w:t>
      </w:r>
      <w:r>
        <w:rPr>
          <w:rFonts w:hint="eastAsia"/>
          <w:b/>
          <w:bCs/>
          <w:iCs/>
          <w:highlight w:val="none"/>
          <w:lang w:val="en-US"/>
        </w:rPr>
        <w:t>1-3   OBW</w:t>
      </w:r>
    </w:p>
    <w:p>
      <w:pPr>
        <w:pStyle w:val="87"/>
        <w:numPr>
          <w:ilvl w:val="0"/>
          <w:numId w:val="2"/>
        </w:numPr>
        <w:spacing w:line="259" w:lineRule="auto"/>
        <w:ind w:left="720"/>
        <w:rPr>
          <w:highlight w:val="none"/>
        </w:rPr>
      </w:pPr>
      <w:r>
        <w:rPr>
          <w:highlight w:val="none"/>
        </w:rPr>
        <w:t>Agreement</w:t>
      </w:r>
    </w:p>
    <w:p>
      <w:pPr>
        <w:pStyle w:val="87"/>
        <w:numPr>
          <w:ilvl w:val="1"/>
          <w:numId w:val="2"/>
        </w:numPr>
        <w:spacing w:line="259" w:lineRule="auto"/>
        <w:ind w:left="1440"/>
        <w:rPr>
          <w:highlight w:val="none"/>
        </w:rPr>
      </w:pPr>
      <w:r>
        <w:rPr>
          <w:highlight w:val="none"/>
        </w:rPr>
        <w:t>Proposal 1 agreed</w:t>
      </w:r>
    </w:p>
    <w:p>
      <w:pPr>
        <w:pStyle w:val="87"/>
        <w:numPr>
          <w:ilvl w:val="2"/>
          <w:numId w:val="2"/>
        </w:numPr>
        <w:spacing w:line="259" w:lineRule="auto"/>
        <w:ind w:left="1860" w:leftChars="0"/>
        <w:rPr>
          <w:highlight w:val="yellow"/>
        </w:rPr>
      </w:pPr>
      <w:r>
        <w:rPr>
          <w:rFonts w:hint="eastAsia" w:eastAsia="宋体"/>
          <w:color w:val="0070C0"/>
          <w:szCs w:val="24"/>
          <w:highlight w:val="green"/>
          <w:lang w:val="en-US" w:eastAsia="zh-CN"/>
        </w:rPr>
        <w:t>Proposal 1: for NCR-MT occupied channel bandwidth, to follow the regulation ITU-R SM.328;</w:t>
      </w:r>
      <w:r>
        <w:rPr>
          <w:rFonts w:hint="eastAsia" w:eastAsia="宋体"/>
          <w:color w:val="0070C0"/>
          <w:szCs w:val="24"/>
          <w:highlight w:val="yellow"/>
          <w:lang w:val="en-US" w:eastAsia="zh-CN"/>
        </w:rPr>
        <w:t xml:space="preserve"> </w:t>
      </w:r>
    </w:p>
    <w:p>
      <w:pPr>
        <w:rPr>
          <w:b/>
          <w:bCs/>
          <w:iCs/>
          <w:highlight w:val="none"/>
          <w:lang w:val="en-US"/>
        </w:rPr>
      </w:pPr>
      <w:r>
        <w:rPr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/>
        </w:rPr>
        <w:t>3</w:t>
      </w:r>
      <w:r>
        <w:rPr>
          <w:b/>
          <w:bCs/>
          <w:iCs/>
          <w:highlight w:val="none"/>
          <w:lang w:val="en-US"/>
        </w:rPr>
        <w:t>-</w:t>
      </w:r>
      <w:r>
        <w:rPr>
          <w:rFonts w:hint="eastAsia"/>
          <w:b/>
          <w:bCs/>
          <w:iCs/>
          <w:highlight w:val="none"/>
          <w:lang w:val="en-US"/>
        </w:rPr>
        <w:t>1-4   ACLR</w:t>
      </w:r>
    </w:p>
    <w:p>
      <w:pPr>
        <w:pStyle w:val="87"/>
        <w:numPr>
          <w:ilvl w:val="0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Agreement: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For wide area NCR-MT: BS requirements applied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 xml:space="preserve">For local area NCR-MT: UE requirements (PC2) applied </w:t>
      </w:r>
    </w:p>
    <w:p>
      <w:pPr>
        <w:rPr>
          <w:b/>
          <w:bCs/>
          <w:iCs/>
          <w:highlight w:val="none"/>
          <w:lang w:val="en-US"/>
        </w:rPr>
      </w:pPr>
      <w:r>
        <w:rPr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/>
        </w:rPr>
        <w:t>3</w:t>
      </w:r>
      <w:r>
        <w:rPr>
          <w:b/>
          <w:bCs/>
          <w:iCs/>
          <w:highlight w:val="none"/>
          <w:lang w:val="en-US"/>
        </w:rPr>
        <w:t>-</w:t>
      </w:r>
      <w:r>
        <w:rPr>
          <w:rFonts w:hint="eastAsia"/>
          <w:b/>
          <w:bCs/>
          <w:iCs/>
          <w:highlight w:val="none"/>
          <w:lang w:val="en-US"/>
        </w:rPr>
        <w:t>1-5   OBUE/SEM</w:t>
      </w:r>
    </w:p>
    <w:p>
      <w:pPr>
        <w:pStyle w:val="87"/>
        <w:numPr>
          <w:ilvl w:val="0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Agreement: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For wide area NCR-MT: BS requirements applied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 xml:space="preserve">For local area NCR-MT: FFS 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Proposal 3 agreed</w:t>
      </w:r>
    </w:p>
    <w:p>
      <w:pPr>
        <w:pStyle w:val="87"/>
        <w:numPr>
          <w:ilvl w:val="2"/>
          <w:numId w:val="2"/>
        </w:numPr>
        <w:spacing w:line="259" w:lineRule="auto"/>
        <w:ind w:left="2352" w:leftChars="0"/>
        <w:rPr>
          <w:highlight w:val="green"/>
        </w:rPr>
      </w:pPr>
      <w:r>
        <w:rPr>
          <w:highlight w:val="green"/>
        </w:rPr>
        <w:fldChar w:fldCharType="begin"/>
      </w:r>
      <w:r>
        <w:rPr>
          <w:highlight w:val="green"/>
        </w:rPr>
        <w:instrText xml:space="preserve"> HYPERLINK \l "_Toc135050297" </w:instrText>
      </w:r>
      <w:r>
        <w:rPr>
          <w:highlight w:val="green"/>
        </w:rPr>
        <w:fldChar w:fldCharType="separate"/>
      </w:r>
      <w:r>
        <w:rPr>
          <w:rFonts w:hint="eastAsia" w:eastAsia="宋体"/>
          <w:color w:val="0070C0"/>
          <w:szCs w:val="24"/>
          <w:highlight w:val="green"/>
          <w:lang w:eastAsia="zh-CN"/>
        </w:rPr>
        <w:t xml:space="preserve">Proposal </w:t>
      </w:r>
      <w:r>
        <w:rPr>
          <w:rFonts w:hint="eastAsia" w:eastAsia="宋体"/>
          <w:color w:val="0070C0"/>
          <w:szCs w:val="24"/>
          <w:highlight w:val="green"/>
          <w:lang w:val="en-US" w:eastAsia="zh-CN"/>
        </w:rPr>
        <w:t xml:space="preserve">3 </w:t>
      </w:r>
      <w:r>
        <w:rPr>
          <w:rFonts w:hint="eastAsia" w:eastAsia="宋体"/>
          <w:color w:val="0070C0"/>
          <w:szCs w:val="24"/>
          <w:highlight w:val="green"/>
          <w:lang w:eastAsia="zh-CN"/>
        </w:rPr>
        <w:t>If the NCR supports simultaneous MT and FWD transmission, then the UL (i.e. BS side) TX emissions requirements should be defined on the total emissions from MT and FWD.</w:t>
      </w:r>
      <w:r>
        <w:rPr>
          <w:rFonts w:hint="eastAsia" w:eastAsia="宋体"/>
          <w:color w:val="0070C0"/>
          <w:szCs w:val="24"/>
          <w:highlight w:val="green"/>
          <w:lang w:eastAsia="zh-CN"/>
        </w:rPr>
        <w:fldChar w:fldCharType="end"/>
      </w:r>
    </w:p>
    <w:p>
      <w:pPr>
        <w:rPr>
          <w:b/>
          <w:bCs/>
          <w:iCs/>
          <w:highlight w:val="none"/>
          <w:lang w:val="en-US"/>
        </w:rPr>
      </w:pPr>
      <w:r>
        <w:rPr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/>
        </w:rPr>
        <w:t>3</w:t>
      </w:r>
      <w:r>
        <w:rPr>
          <w:b/>
          <w:bCs/>
          <w:iCs/>
          <w:highlight w:val="none"/>
          <w:lang w:val="en-US"/>
        </w:rPr>
        <w:t>-</w:t>
      </w:r>
      <w:r>
        <w:rPr>
          <w:rFonts w:hint="eastAsia"/>
          <w:b/>
          <w:bCs/>
          <w:iCs/>
          <w:highlight w:val="none"/>
          <w:lang w:val="en-US"/>
        </w:rPr>
        <w:t>1-6   transmitter spurious emission</w:t>
      </w:r>
    </w:p>
    <w:p>
      <w:pPr>
        <w:pStyle w:val="87"/>
        <w:numPr>
          <w:ilvl w:val="0"/>
          <w:numId w:val="2"/>
        </w:numPr>
        <w:spacing w:line="259" w:lineRule="auto"/>
        <w:ind w:left="720"/>
        <w:rPr>
          <w:highlight w:val="none"/>
        </w:rPr>
      </w:pPr>
      <w:r>
        <w:rPr>
          <w:highlight w:val="none"/>
        </w:rPr>
        <w:t>Agreement:</w:t>
      </w:r>
    </w:p>
    <w:p>
      <w:pPr>
        <w:pStyle w:val="87"/>
        <w:numPr>
          <w:ilvl w:val="1"/>
          <w:numId w:val="2"/>
        </w:numPr>
        <w:spacing w:line="259" w:lineRule="auto"/>
        <w:ind w:left="1440"/>
        <w:rPr>
          <w:highlight w:val="none"/>
        </w:rPr>
      </w:pPr>
      <w:r>
        <w:rPr>
          <w:highlight w:val="none"/>
        </w:rPr>
        <w:t xml:space="preserve">Proposal 1 agreed </w:t>
      </w:r>
    </w:p>
    <w:p>
      <w:pPr>
        <w:pStyle w:val="87"/>
        <w:numPr>
          <w:ilvl w:val="2"/>
          <w:numId w:val="2"/>
        </w:numPr>
        <w:spacing w:line="259" w:lineRule="auto"/>
        <w:ind w:left="1860" w:leftChars="0"/>
        <w:rPr>
          <w:highlight w:val="green"/>
        </w:rPr>
      </w:pPr>
      <w:r>
        <w:rPr>
          <w:rFonts w:hint="eastAsia" w:eastAsia="宋体"/>
          <w:color w:val="0070C0"/>
          <w:szCs w:val="24"/>
          <w:highlight w:val="green"/>
          <w:lang w:val="en-US" w:eastAsia="zh-CN"/>
        </w:rPr>
        <w:t>Proposal 1: for NCR-MT transmitter spurious emission requirements, propose to follow Rel-17 repeater transmitter spurious emission requirements.</w:t>
      </w:r>
    </w:p>
    <w:p>
      <w:pPr>
        <w:pStyle w:val="87"/>
        <w:numPr>
          <w:ilvl w:val="1"/>
          <w:numId w:val="2"/>
        </w:numPr>
        <w:spacing w:line="259" w:lineRule="auto"/>
        <w:ind w:left="1440"/>
        <w:rPr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HYPERLINK \l "_Toc135050297" </w:instrText>
      </w:r>
      <w:r>
        <w:rPr>
          <w:highlight w:val="none"/>
        </w:rPr>
        <w:fldChar w:fldCharType="separate"/>
      </w:r>
      <w:r>
        <w:rPr>
          <w:rFonts w:hint="eastAsia"/>
          <w:highlight w:val="none"/>
        </w:rPr>
        <w:t>If the NCR supports simultaneous MT and FWD transmission, then the UL (i.e. BS side) TX emissions requirements should be defined on the total emissions from MT and FWD.</w:t>
      </w:r>
      <w:r>
        <w:rPr>
          <w:rFonts w:hint="eastAsia"/>
          <w:highlight w:val="none"/>
        </w:rPr>
        <w:fldChar w:fldCharType="end"/>
      </w:r>
    </w:p>
    <w:p>
      <w:pPr>
        <w:pStyle w:val="87"/>
        <w:numPr>
          <w:ilvl w:val="0"/>
          <w:numId w:val="0"/>
        </w:numPr>
        <w:spacing w:line="259" w:lineRule="auto"/>
        <w:ind w:left="1440"/>
        <w:rPr>
          <w:highlight w:val="none"/>
        </w:rPr>
      </w:pPr>
    </w:p>
    <w:p>
      <w:pPr>
        <w:rPr>
          <w:b/>
          <w:bCs/>
          <w:iCs/>
          <w:highlight w:val="none"/>
          <w:lang w:val="en-US"/>
        </w:rPr>
      </w:pPr>
      <w:r>
        <w:rPr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/>
        </w:rPr>
        <w:t>3</w:t>
      </w:r>
      <w:r>
        <w:rPr>
          <w:b/>
          <w:bCs/>
          <w:iCs/>
          <w:highlight w:val="none"/>
          <w:lang w:val="en-US"/>
        </w:rPr>
        <w:t>-</w:t>
      </w:r>
      <w:r>
        <w:rPr>
          <w:rFonts w:hint="eastAsia"/>
          <w:b/>
          <w:bCs/>
          <w:iCs/>
          <w:highlight w:val="none"/>
          <w:lang w:val="en-US"/>
        </w:rPr>
        <w:t>1-7  Transmitter transmitter intermodulation</w:t>
      </w:r>
    </w:p>
    <w:p>
      <w:pPr>
        <w:pStyle w:val="87"/>
        <w:numPr>
          <w:ilvl w:val="0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 xml:space="preserve">Agreement: 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Further discuss below two options for NCR-MT:</w:t>
      </w:r>
    </w:p>
    <w:p>
      <w:pPr>
        <w:pStyle w:val="87"/>
        <w:numPr>
          <w:ilvl w:val="2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Option 1: IAB-MT approach</w:t>
      </w:r>
    </w:p>
    <w:p>
      <w:pPr>
        <w:pStyle w:val="87"/>
        <w:numPr>
          <w:ilvl w:val="2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 xml:space="preserve">Option 2: Legacy UE approach </w:t>
      </w:r>
    </w:p>
    <w:p>
      <w:pPr>
        <w:rPr>
          <w:b/>
          <w:bCs/>
          <w:iCs/>
          <w:highlight w:val="none"/>
          <w:lang w:val="en-US"/>
        </w:rPr>
      </w:pPr>
      <w:r>
        <w:rPr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/>
        </w:rPr>
        <w:t>3</w:t>
      </w:r>
      <w:r>
        <w:rPr>
          <w:b/>
          <w:bCs/>
          <w:iCs/>
          <w:highlight w:val="none"/>
          <w:lang w:val="en-US"/>
        </w:rPr>
        <w:t>-</w:t>
      </w:r>
      <w:r>
        <w:rPr>
          <w:rFonts w:hint="eastAsia"/>
          <w:b/>
          <w:bCs/>
          <w:iCs/>
          <w:highlight w:val="none"/>
          <w:lang w:val="en-US"/>
        </w:rPr>
        <w:t xml:space="preserve">2-1   </w:t>
      </w:r>
      <w:r>
        <w:rPr>
          <w:b/>
          <w:bCs/>
          <w:iCs/>
          <w:highlight w:val="none"/>
          <w:lang w:val="en-US"/>
        </w:rPr>
        <w:t xml:space="preserve"> </w:t>
      </w:r>
      <w:r>
        <w:rPr>
          <w:rFonts w:hint="eastAsia"/>
          <w:b/>
          <w:bCs/>
          <w:iCs/>
          <w:highlight w:val="none"/>
          <w:lang w:val="en-US"/>
        </w:rPr>
        <w:t>REFSENS requirement</w:t>
      </w:r>
    </w:p>
    <w:p>
      <w:pPr>
        <w:pStyle w:val="87"/>
        <w:numPr>
          <w:ilvl w:val="0"/>
          <w:numId w:val="2"/>
        </w:numPr>
        <w:spacing w:line="259" w:lineRule="auto"/>
        <w:ind w:left="720"/>
        <w:rPr>
          <w:highlight w:val="none"/>
        </w:rPr>
      </w:pPr>
      <w:r>
        <w:rPr>
          <w:highlight w:val="none"/>
        </w:rPr>
        <w:t>Agreement:</w:t>
      </w:r>
    </w:p>
    <w:p>
      <w:pPr>
        <w:numPr>
          <w:ilvl w:val="0"/>
          <w:numId w:val="3"/>
        </w:numPr>
        <w:spacing w:line="260" w:lineRule="auto"/>
        <w:ind w:left="1600" w:leftChars="800"/>
        <w:rPr>
          <w:bCs/>
          <w:highlight w:val="none"/>
          <w:lang w:val="en-US" w:eastAsia="zh-CN"/>
        </w:rPr>
      </w:pPr>
      <w:r>
        <w:rPr>
          <w:rFonts w:hint="eastAsia"/>
          <w:bCs/>
          <w:highlight w:val="none"/>
          <w:lang w:val="en-US" w:eastAsia="zh-CN"/>
        </w:rPr>
        <w:t xml:space="preserve">NF is assumed as 5dB for FR1 WA NCR-MT, </w:t>
      </w:r>
    </w:p>
    <w:p>
      <w:pPr>
        <w:numPr>
          <w:ilvl w:val="0"/>
          <w:numId w:val="3"/>
        </w:numPr>
        <w:spacing w:line="260" w:lineRule="auto"/>
        <w:ind w:left="1600" w:leftChars="800"/>
        <w:rPr>
          <w:bCs/>
          <w:highlight w:val="none"/>
          <w:lang w:val="en-US" w:eastAsia="zh-CN"/>
        </w:rPr>
      </w:pPr>
      <w:r>
        <w:rPr>
          <w:rFonts w:hint="eastAsia"/>
          <w:bCs/>
          <w:highlight w:val="none"/>
          <w:lang w:val="en-US" w:eastAsia="zh-CN"/>
        </w:rPr>
        <w:t>FR1 LA NCR-MT</w:t>
      </w:r>
      <w:r>
        <w:rPr>
          <w:bCs/>
          <w:highlight w:val="none"/>
          <w:lang w:val="en-US" w:eastAsia="zh-CN"/>
        </w:rPr>
        <w:t>:</w:t>
      </w:r>
    </w:p>
    <w:p>
      <w:pPr>
        <w:numPr>
          <w:ilvl w:val="0"/>
          <w:numId w:val="3"/>
        </w:numPr>
        <w:spacing w:line="260" w:lineRule="auto"/>
        <w:ind w:left="2408"/>
        <w:rPr>
          <w:bCs/>
          <w:highlight w:val="none"/>
          <w:lang w:val="en-US" w:eastAsia="zh-CN"/>
        </w:rPr>
      </w:pPr>
      <w:r>
        <w:rPr>
          <w:bCs/>
          <w:highlight w:val="none"/>
          <w:lang w:val="en-US" w:eastAsia="zh-CN"/>
        </w:rPr>
        <w:t>Option1: 13dB</w:t>
      </w:r>
    </w:p>
    <w:p>
      <w:pPr>
        <w:numPr>
          <w:ilvl w:val="0"/>
          <w:numId w:val="3"/>
        </w:numPr>
        <w:spacing w:line="260" w:lineRule="auto"/>
        <w:ind w:left="2408"/>
        <w:rPr>
          <w:bCs/>
          <w:highlight w:val="none"/>
          <w:lang w:val="en-US" w:eastAsia="zh-CN"/>
        </w:rPr>
      </w:pPr>
      <w:r>
        <w:rPr>
          <w:bCs/>
          <w:highlight w:val="none"/>
          <w:lang w:val="en-US" w:eastAsia="zh-CN"/>
        </w:rPr>
        <w:t xml:space="preserve">Option 2: legacy UE value </w:t>
      </w:r>
    </w:p>
    <w:p>
      <w:pPr>
        <w:numPr>
          <w:ilvl w:val="0"/>
          <w:numId w:val="3"/>
        </w:numPr>
        <w:spacing w:line="260" w:lineRule="auto"/>
        <w:ind w:left="1600" w:leftChars="800"/>
        <w:rPr>
          <w:bCs/>
          <w:highlight w:val="none"/>
          <w:lang w:val="en-US" w:eastAsia="zh-CN"/>
        </w:rPr>
      </w:pPr>
      <w:r>
        <w:rPr>
          <w:rFonts w:hint="eastAsia"/>
          <w:bCs/>
          <w:highlight w:val="none"/>
          <w:lang w:val="en-US" w:eastAsia="zh-CN"/>
        </w:rPr>
        <w:t>NF is assumed as 10dB for 30GHz and 12dB for 45GHz for FR2 NCR-MT</w:t>
      </w:r>
    </w:p>
    <w:p>
      <w:pPr>
        <w:rPr>
          <w:b/>
          <w:bCs/>
          <w:iCs/>
          <w:highlight w:val="none"/>
          <w:lang w:val="en-US"/>
        </w:rPr>
      </w:pPr>
    </w:p>
    <w:p>
      <w:pPr>
        <w:rPr>
          <w:b/>
          <w:bCs/>
          <w:iCs/>
          <w:highlight w:val="none"/>
          <w:lang w:val="en-US"/>
        </w:rPr>
      </w:pPr>
      <w:r>
        <w:rPr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/>
        </w:rPr>
        <w:t>3</w:t>
      </w:r>
      <w:r>
        <w:rPr>
          <w:b/>
          <w:bCs/>
          <w:iCs/>
          <w:highlight w:val="none"/>
          <w:lang w:val="en-US"/>
        </w:rPr>
        <w:t>-</w:t>
      </w:r>
      <w:r>
        <w:rPr>
          <w:rFonts w:hint="eastAsia"/>
          <w:b/>
          <w:bCs/>
          <w:iCs/>
          <w:highlight w:val="none"/>
          <w:lang w:val="en-US"/>
        </w:rPr>
        <w:t xml:space="preserve">2-2   </w:t>
      </w:r>
      <w:r>
        <w:rPr>
          <w:b/>
          <w:bCs/>
          <w:iCs/>
          <w:highlight w:val="none"/>
          <w:lang w:val="en-US"/>
        </w:rPr>
        <w:t xml:space="preserve"> </w:t>
      </w:r>
      <w:r>
        <w:rPr>
          <w:rFonts w:hint="eastAsia"/>
          <w:b/>
          <w:bCs/>
          <w:iCs/>
          <w:highlight w:val="none"/>
          <w:lang w:val="en-US"/>
        </w:rPr>
        <w:t>Dynamic range requirement</w:t>
      </w:r>
    </w:p>
    <w:p>
      <w:pPr>
        <w:pStyle w:val="87"/>
        <w:numPr>
          <w:ilvl w:val="0"/>
          <w:numId w:val="2"/>
        </w:numPr>
        <w:spacing w:line="259" w:lineRule="auto"/>
        <w:ind w:left="720"/>
        <w:rPr>
          <w:highlight w:val="none"/>
        </w:rPr>
      </w:pPr>
      <w:r>
        <w:rPr>
          <w:highlight w:val="none"/>
        </w:rPr>
        <w:t>Agreement:</w:t>
      </w:r>
    </w:p>
    <w:p>
      <w:pPr>
        <w:pStyle w:val="87"/>
        <w:numPr>
          <w:ilvl w:val="1"/>
          <w:numId w:val="2"/>
        </w:numPr>
        <w:spacing w:line="259" w:lineRule="auto"/>
        <w:ind w:left="1440"/>
        <w:rPr>
          <w:highlight w:val="none"/>
        </w:rPr>
      </w:pPr>
      <w:r>
        <w:rPr>
          <w:highlight w:val="none"/>
        </w:rPr>
        <w:t>Proposal 1 agreed</w:t>
      </w:r>
    </w:p>
    <w:p>
      <w:pPr>
        <w:pStyle w:val="87"/>
        <w:numPr>
          <w:ilvl w:val="2"/>
          <w:numId w:val="2"/>
        </w:numPr>
        <w:spacing w:line="259" w:lineRule="auto"/>
        <w:ind w:left="1860" w:leftChars="0"/>
        <w:rPr>
          <w:highlight w:val="green"/>
        </w:rPr>
      </w:pPr>
      <w:r>
        <w:rPr>
          <w:rFonts w:hint="eastAsia" w:eastAsia="宋体"/>
          <w:color w:val="0070C0"/>
          <w:szCs w:val="24"/>
          <w:highlight w:val="green"/>
          <w:lang w:val="en-US" w:eastAsia="zh-CN"/>
        </w:rPr>
        <w:t>Proposal 1: propose not to define the dynamic range requirement for NCR-MT.</w:t>
      </w:r>
    </w:p>
    <w:p>
      <w:pPr>
        <w:pStyle w:val="87"/>
        <w:numPr>
          <w:ilvl w:val="0"/>
          <w:numId w:val="0"/>
        </w:numPr>
        <w:spacing w:line="259" w:lineRule="auto"/>
        <w:ind w:left="1440"/>
        <w:rPr>
          <w:highlight w:val="none"/>
        </w:rPr>
      </w:pPr>
    </w:p>
    <w:p>
      <w:pPr>
        <w:rPr>
          <w:b/>
          <w:bCs/>
          <w:iCs/>
          <w:highlight w:val="none"/>
          <w:lang w:val="en-US"/>
        </w:rPr>
      </w:pPr>
      <w:r>
        <w:rPr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/>
        </w:rPr>
        <w:t>3</w:t>
      </w:r>
      <w:r>
        <w:rPr>
          <w:b/>
          <w:bCs/>
          <w:iCs/>
          <w:highlight w:val="none"/>
          <w:lang w:val="en-US"/>
        </w:rPr>
        <w:t>-</w:t>
      </w:r>
      <w:r>
        <w:rPr>
          <w:rFonts w:hint="eastAsia"/>
          <w:b/>
          <w:bCs/>
          <w:iCs/>
          <w:highlight w:val="none"/>
          <w:lang w:val="en-US"/>
        </w:rPr>
        <w:t xml:space="preserve">2-3   </w:t>
      </w:r>
      <w:r>
        <w:rPr>
          <w:b/>
          <w:bCs/>
          <w:iCs/>
          <w:highlight w:val="none"/>
          <w:lang w:val="en-US"/>
        </w:rPr>
        <w:t xml:space="preserve"> </w:t>
      </w:r>
      <w:r>
        <w:rPr>
          <w:rFonts w:hint="eastAsia"/>
          <w:b/>
          <w:bCs/>
          <w:iCs/>
          <w:highlight w:val="none"/>
          <w:lang w:val="en-US"/>
        </w:rPr>
        <w:t>ACS/IBB</w:t>
      </w:r>
    </w:p>
    <w:p>
      <w:pPr>
        <w:pStyle w:val="87"/>
        <w:numPr>
          <w:ilvl w:val="0"/>
          <w:numId w:val="2"/>
        </w:numPr>
        <w:spacing w:line="259" w:lineRule="auto"/>
        <w:ind w:left="720"/>
        <w:rPr>
          <w:highlight w:val="none"/>
        </w:rPr>
      </w:pPr>
      <w:r>
        <w:rPr>
          <w:highlight w:val="none"/>
        </w:rPr>
        <w:t>A</w:t>
      </w:r>
      <w:r>
        <w:rPr>
          <w:rFonts w:hint="eastAsia"/>
          <w:highlight w:val="none"/>
        </w:rPr>
        <w:t>g</w:t>
      </w:r>
      <w:r>
        <w:rPr>
          <w:highlight w:val="none"/>
        </w:rPr>
        <w:t>reement:</w:t>
      </w:r>
    </w:p>
    <w:p>
      <w:pPr>
        <w:pStyle w:val="87"/>
        <w:numPr>
          <w:ilvl w:val="1"/>
          <w:numId w:val="2"/>
        </w:numPr>
        <w:spacing w:line="259" w:lineRule="auto"/>
        <w:ind w:left="1440"/>
        <w:rPr>
          <w:highlight w:val="none"/>
        </w:rPr>
      </w:pPr>
      <w:r>
        <w:rPr>
          <w:highlight w:val="none"/>
        </w:rPr>
        <w:t>For wide area NCR-MT: reusing IAB-MT requirements</w:t>
      </w:r>
    </w:p>
    <w:p>
      <w:pPr>
        <w:pStyle w:val="87"/>
        <w:numPr>
          <w:ilvl w:val="1"/>
          <w:numId w:val="2"/>
        </w:numPr>
        <w:spacing w:line="259" w:lineRule="auto"/>
        <w:ind w:left="1440"/>
        <w:rPr>
          <w:highlight w:val="none"/>
        </w:rPr>
      </w:pPr>
      <w:r>
        <w:rPr>
          <w:highlight w:val="none"/>
        </w:rPr>
        <w:t xml:space="preserve">For local are NCR-MT: FFS </w:t>
      </w:r>
    </w:p>
    <w:p>
      <w:pPr>
        <w:rPr>
          <w:b/>
          <w:bCs/>
          <w:iCs/>
          <w:highlight w:val="none"/>
          <w:lang w:val="en-US"/>
        </w:rPr>
      </w:pPr>
      <w:r>
        <w:rPr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/>
        </w:rPr>
        <w:t>3</w:t>
      </w:r>
      <w:r>
        <w:rPr>
          <w:b/>
          <w:bCs/>
          <w:iCs/>
          <w:highlight w:val="none"/>
          <w:lang w:val="en-US"/>
        </w:rPr>
        <w:t>-</w:t>
      </w:r>
      <w:r>
        <w:rPr>
          <w:rFonts w:hint="eastAsia"/>
          <w:b/>
          <w:bCs/>
          <w:iCs/>
          <w:highlight w:val="none"/>
          <w:lang w:val="en-US"/>
        </w:rPr>
        <w:t xml:space="preserve">2-4   </w:t>
      </w:r>
      <w:r>
        <w:rPr>
          <w:b/>
          <w:bCs/>
          <w:iCs/>
          <w:highlight w:val="none"/>
          <w:lang w:val="en-US"/>
        </w:rPr>
        <w:t xml:space="preserve"> </w:t>
      </w:r>
      <w:r>
        <w:rPr>
          <w:rFonts w:hint="eastAsia"/>
          <w:b/>
          <w:bCs/>
          <w:iCs/>
          <w:highlight w:val="none"/>
          <w:lang w:val="en-US"/>
        </w:rPr>
        <w:t>OOBB requirement</w:t>
      </w:r>
    </w:p>
    <w:p>
      <w:pPr>
        <w:pStyle w:val="87"/>
        <w:numPr>
          <w:ilvl w:val="0"/>
          <w:numId w:val="2"/>
        </w:numPr>
        <w:spacing w:line="259" w:lineRule="auto"/>
        <w:ind w:left="720"/>
        <w:rPr>
          <w:highlight w:val="none"/>
        </w:rPr>
      </w:pPr>
      <w:r>
        <w:rPr>
          <w:rFonts w:hint="eastAsia"/>
          <w:highlight w:val="none"/>
        </w:rPr>
        <w:t>Agreement</w:t>
      </w:r>
      <w:r>
        <w:rPr>
          <w:highlight w:val="none"/>
        </w:rPr>
        <w:t>:</w:t>
      </w:r>
    </w:p>
    <w:p>
      <w:pPr>
        <w:pStyle w:val="87"/>
        <w:numPr>
          <w:ilvl w:val="1"/>
          <w:numId w:val="2"/>
        </w:numPr>
        <w:spacing w:line="259" w:lineRule="auto"/>
        <w:ind w:left="1440"/>
        <w:rPr>
          <w:highlight w:val="none"/>
        </w:rPr>
      </w:pPr>
      <w:r>
        <w:rPr>
          <w:highlight w:val="none"/>
        </w:rPr>
        <w:t>For wide area NCR-MT: reusing IAB-MT requirements</w:t>
      </w:r>
    </w:p>
    <w:p>
      <w:pPr>
        <w:pStyle w:val="87"/>
        <w:numPr>
          <w:ilvl w:val="1"/>
          <w:numId w:val="2"/>
        </w:numPr>
        <w:spacing w:line="259" w:lineRule="auto"/>
        <w:ind w:left="1440"/>
        <w:rPr>
          <w:highlight w:val="none"/>
        </w:rPr>
      </w:pPr>
      <w:r>
        <w:rPr>
          <w:highlight w:val="none"/>
        </w:rPr>
        <w:t xml:space="preserve">For local are NCR-MT: FFS </w:t>
      </w:r>
    </w:p>
    <w:p>
      <w:pPr>
        <w:rPr>
          <w:b/>
          <w:bCs/>
          <w:iCs/>
          <w:highlight w:val="none"/>
          <w:lang w:val="en-US"/>
        </w:rPr>
      </w:pPr>
      <w:r>
        <w:rPr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/>
        </w:rPr>
        <w:t>3</w:t>
      </w:r>
      <w:r>
        <w:rPr>
          <w:b/>
          <w:bCs/>
          <w:iCs/>
          <w:highlight w:val="none"/>
          <w:lang w:val="en-US"/>
        </w:rPr>
        <w:t>-</w:t>
      </w:r>
      <w:r>
        <w:rPr>
          <w:rFonts w:hint="eastAsia"/>
          <w:b/>
          <w:bCs/>
          <w:iCs/>
          <w:highlight w:val="none"/>
          <w:lang w:val="en-US"/>
        </w:rPr>
        <w:t xml:space="preserve">2-6   </w:t>
      </w:r>
      <w:r>
        <w:rPr>
          <w:b/>
          <w:bCs/>
          <w:iCs/>
          <w:highlight w:val="none"/>
          <w:lang w:val="en-US"/>
        </w:rPr>
        <w:t xml:space="preserve"> </w:t>
      </w:r>
      <w:r>
        <w:rPr>
          <w:rFonts w:hint="eastAsia"/>
          <w:b/>
          <w:bCs/>
          <w:iCs/>
          <w:highlight w:val="none"/>
          <w:lang w:val="en-US"/>
        </w:rPr>
        <w:t>receiver intermodulation requirement</w:t>
      </w:r>
    </w:p>
    <w:p>
      <w:pPr>
        <w:pStyle w:val="87"/>
        <w:numPr>
          <w:ilvl w:val="0"/>
          <w:numId w:val="2"/>
        </w:numPr>
        <w:spacing w:line="259" w:lineRule="auto"/>
        <w:ind w:left="720"/>
        <w:rPr>
          <w:highlight w:val="none"/>
        </w:rPr>
      </w:pPr>
      <w:r>
        <w:rPr>
          <w:rFonts w:hint="eastAsia"/>
          <w:highlight w:val="none"/>
        </w:rPr>
        <w:t>Agreement</w:t>
      </w:r>
      <w:r>
        <w:rPr>
          <w:highlight w:val="none"/>
        </w:rPr>
        <w:t>:</w:t>
      </w:r>
    </w:p>
    <w:p>
      <w:pPr>
        <w:pStyle w:val="87"/>
        <w:numPr>
          <w:ilvl w:val="1"/>
          <w:numId w:val="2"/>
        </w:numPr>
        <w:spacing w:line="259" w:lineRule="auto"/>
        <w:ind w:left="1440"/>
        <w:rPr>
          <w:highlight w:val="none"/>
        </w:rPr>
      </w:pPr>
      <w:r>
        <w:rPr>
          <w:highlight w:val="none"/>
        </w:rPr>
        <w:t>For wide area NCR-MT: reusing IAB-MT requirements</w:t>
      </w:r>
    </w:p>
    <w:p>
      <w:pPr>
        <w:pStyle w:val="87"/>
        <w:numPr>
          <w:ilvl w:val="1"/>
          <w:numId w:val="2"/>
        </w:numPr>
        <w:spacing w:line="259" w:lineRule="auto"/>
        <w:ind w:left="1440"/>
        <w:rPr>
          <w:highlight w:val="none"/>
        </w:rPr>
      </w:pPr>
      <w:r>
        <w:rPr>
          <w:highlight w:val="none"/>
        </w:rPr>
        <w:t xml:space="preserve">For local are NCR-MT: FFS </w:t>
      </w:r>
    </w:p>
    <w:p>
      <w:pPr>
        <w:rPr>
          <w:b/>
          <w:bCs/>
          <w:iCs/>
          <w:highlight w:val="none"/>
          <w:lang w:val="en-US"/>
        </w:rPr>
      </w:pPr>
      <w:r>
        <w:rPr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/>
        </w:rPr>
        <w:t>3</w:t>
      </w:r>
      <w:r>
        <w:rPr>
          <w:b/>
          <w:bCs/>
          <w:iCs/>
          <w:highlight w:val="none"/>
          <w:lang w:val="en-US"/>
        </w:rPr>
        <w:t>-</w:t>
      </w:r>
      <w:r>
        <w:rPr>
          <w:rFonts w:hint="eastAsia"/>
          <w:b/>
          <w:bCs/>
          <w:iCs/>
          <w:highlight w:val="none"/>
          <w:lang w:val="en-US"/>
        </w:rPr>
        <w:t xml:space="preserve">2-7  </w:t>
      </w:r>
      <w:r>
        <w:rPr>
          <w:b/>
          <w:bCs/>
          <w:iCs/>
          <w:highlight w:val="none"/>
          <w:lang w:val="en-US"/>
        </w:rPr>
        <w:t xml:space="preserve"> </w:t>
      </w:r>
      <w:r>
        <w:rPr>
          <w:rFonts w:hint="eastAsia"/>
          <w:b/>
          <w:bCs/>
          <w:iCs/>
          <w:highlight w:val="none"/>
          <w:lang w:val="en-US"/>
        </w:rPr>
        <w:t>receiver in-channel selectivity requirement requirement</w:t>
      </w:r>
    </w:p>
    <w:p>
      <w:pPr>
        <w:pStyle w:val="87"/>
        <w:numPr>
          <w:ilvl w:val="0"/>
          <w:numId w:val="2"/>
        </w:numPr>
        <w:spacing w:line="259" w:lineRule="auto"/>
        <w:ind w:left="720"/>
        <w:rPr>
          <w:highlight w:val="none"/>
        </w:rPr>
      </w:pPr>
      <w:r>
        <w:rPr>
          <w:highlight w:val="none"/>
        </w:rPr>
        <w:t>Agreement:</w:t>
      </w:r>
    </w:p>
    <w:p>
      <w:pPr>
        <w:pStyle w:val="87"/>
        <w:numPr>
          <w:ilvl w:val="1"/>
          <w:numId w:val="2"/>
        </w:numPr>
        <w:spacing w:line="259" w:lineRule="auto"/>
        <w:ind w:left="1440"/>
        <w:rPr>
          <w:highlight w:val="none"/>
        </w:rPr>
      </w:pPr>
      <w:r>
        <w:rPr>
          <w:highlight w:val="none"/>
        </w:rPr>
        <w:t>Proposal 1 agreed</w:t>
      </w:r>
    </w:p>
    <w:p>
      <w:pPr>
        <w:pStyle w:val="87"/>
        <w:numPr>
          <w:ilvl w:val="2"/>
          <w:numId w:val="2"/>
        </w:numPr>
        <w:spacing w:line="259" w:lineRule="auto"/>
        <w:ind w:left="1860" w:leftChars="0"/>
        <w:rPr>
          <w:highlight w:val="green"/>
        </w:rPr>
      </w:pPr>
      <w:r>
        <w:rPr>
          <w:rFonts w:hint="eastAsia" w:eastAsia="宋体"/>
          <w:color w:val="0070C0"/>
          <w:szCs w:val="24"/>
          <w:highlight w:val="green"/>
          <w:lang w:val="en-US" w:eastAsia="zh-CN"/>
        </w:rPr>
        <w:t>Proposal 1: propose not to define the ICS requirement for NCR-MT</w:t>
      </w:r>
    </w:p>
    <w:bookmarkEnd w:id="0"/>
    <w:p>
      <w:pPr>
        <w:rPr>
          <w:b/>
          <w:bCs/>
          <w:iCs/>
          <w:highlight w:val="none"/>
          <w:lang w:val="en-US"/>
        </w:rPr>
      </w:pPr>
    </w:p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431" w:hanging="431"/>
        <w:textAlignment w:val="auto"/>
        <w:outlineLvl w:val="1"/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. RF requirement for NCR-Fwd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/>
        <w:bidi w:val="0"/>
        <w:adjustRightInd/>
        <w:snapToGrid/>
        <w:spacing w:line="260" w:lineRule="auto"/>
        <w:textAlignment w:val="baseline"/>
        <w:outlineLvl w:val="2"/>
        <w:rPr>
          <w:rFonts w:hint="eastAsia" w:ascii="Arial" w:hAnsi="Arial"/>
          <w:highlight w:val="none"/>
          <w:lang w:val="en-US" w:eastAsia="zh-CN"/>
        </w:rPr>
      </w:pPr>
      <w:r>
        <w:rPr>
          <w:rFonts w:hint="eastAsia" w:ascii="Arial" w:hAnsi="Arial"/>
          <w:highlight w:val="none"/>
          <w:lang w:val="en-US" w:eastAsia="zh-CN"/>
        </w:rPr>
        <w:t>1.3.1 NCR-Fwd type 1-H: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/>
        <w:bidi w:val="0"/>
        <w:adjustRightInd/>
        <w:snapToGrid/>
        <w:spacing w:line="260" w:lineRule="auto"/>
        <w:textAlignment w:val="baseline"/>
        <w:outlineLvl w:val="9"/>
        <w:rPr>
          <w:rFonts w:hint="eastAsia" w:ascii="Times New Roman" w:hAnsi="Times New Roman"/>
          <w:highlight w:val="none"/>
          <w:lang w:val="en-US" w:eastAsia="zh-CN" w:bidi="ar"/>
        </w:rPr>
      </w:pPr>
      <w:r>
        <w:rPr>
          <w:rFonts w:hint="eastAsia" w:ascii="Times New Roman" w:hAnsi="Times New Roman"/>
          <w:highlight w:val="none"/>
          <w:lang w:val="en-US" w:eastAsia="zh-CN" w:bidi="ar"/>
        </w:rPr>
        <w:t xml:space="preserve"> Repeat output power:</w:t>
      </w:r>
    </w:p>
    <w:p>
      <w:pPr>
        <w:rPr>
          <w:rFonts w:hint="eastAsia" w:ascii="Arial" w:hAnsi="Arial"/>
          <w:highlight w:val="none"/>
          <w:lang w:val="en-US" w:eastAsia="zh-CN"/>
        </w:rPr>
      </w:pPr>
      <w:r>
        <w:rPr>
          <w:rFonts w:hint="eastAsia" w:ascii="Arial" w:hAnsi="Arial"/>
          <w:highlight w:val="none"/>
          <w:lang w:val="en-US" w:eastAsia="zh-CN"/>
        </w:rPr>
        <w:t>Agreement:</w:t>
      </w:r>
    </w:p>
    <w:p>
      <w:pPr>
        <w:numPr>
          <w:ilvl w:val="0"/>
          <w:numId w:val="4"/>
        </w:numPr>
        <w:ind w:left="840" w:leftChars="0" w:hanging="420" w:firstLineChars="0"/>
        <w:rPr>
          <w:rFonts w:hint="default" w:eastAsia="等线"/>
          <w:color w:val="000000"/>
          <w:kern w:val="0"/>
          <w:szCs w:val="21"/>
          <w:highlight w:val="none"/>
          <w:lang w:val="en-US" w:eastAsia="zh-CN" w:bidi="ar"/>
        </w:rPr>
      </w:pPr>
      <w:bookmarkStart w:id="1" w:name="_GoBack"/>
      <w:r>
        <w:rPr>
          <w:rFonts w:hint="eastAsia" w:ascii="Arial" w:hAnsi="Arial"/>
          <w:highlight w:val="none"/>
          <w:lang w:val="en-US" w:eastAsia="zh-CN"/>
        </w:rPr>
        <w:t>For wide area NCR-fwd link, N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TXU,counted = min(NTXU,active , 8*Ncells)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 xml:space="preserve"> for emission requirement only;</w:t>
      </w:r>
    </w:p>
    <w:p>
      <w:pPr>
        <w:numPr>
          <w:ilvl w:val="0"/>
          <w:numId w:val="4"/>
        </w:numPr>
        <w:ind w:left="840" w:leftChars="0" w:hanging="420" w:firstLineChars="0"/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</w:pPr>
      <w:r>
        <w:rPr>
          <w:rFonts w:hint="eastAsia" w:ascii="Arial" w:hAnsi="Arial"/>
          <w:highlight w:val="none"/>
          <w:lang w:val="en-US" w:eastAsia="zh-CN"/>
        </w:rPr>
        <w:t>For local area NCR-fwd link, N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TXU,counted = min(NTXU,active ,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>4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*Ncells)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 xml:space="preserve"> ;</w:t>
      </w:r>
    </w:p>
    <w:bookmarkEnd w:id="1"/>
    <w:p>
      <w:pP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/>
        <w:bidi w:val="0"/>
        <w:adjustRightInd/>
        <w:snapToGrid/>
        <w:spacing w:line="260" w:lineRule="auto"/>
        <w:textAlignment w:val="baseline"/>
        <w:outlineLvl w:val="9"/>
        <w:rPr>
          <w:rFonts w:hint="eastAsia" w:ascii="Times New Roman" w:hAnsi="Times New Roman" w:eastAsia="宋体" w:cs="Times New Roman"/>
          <w:highlight w:val="none"/>
          <w:lang w:val="en-US" w:eastAsia="zh-CN" w:bidi="ar"/>
        </w:rPr>
      </w:pPr>
      <w:r>
        <w:rPr>
          <w:rFonts w:hint="eastAsia" w:ascii="Times New Roman" w:hAnsi="Times New Roman" w:eastAsia="宋体" w:cs="Times New Roman"/>
          <w:highlight w:val="none"/>
          <w:lang w:val="en-US" w:eastAsia="zh-CN" w:bidi="ar"/>
        </w:rPr>
        <w:t>Adjacent Channel Leakage Power Ratio:</w:t>
      </w:r>
    </w:p>
    <w:p>
      <w:pPr>
        <w:rPr>
          <w:rFonts w:hint="eastAsia"/>
          <w:highlight w:val="none"/>
          <w:lang w:val="en-US" w:eastAsia="zh-CN" w:bidi="ar"/>
        </w:rPr>
      </w:pPr>
      <w:r>
        <w:rPr>
          <w:rFonts w:hint="eastAsia"/>
          <w:highlight w:val="none"/>
          <w:lang w:val="en-US" w:eastAsia="zh-CN" w:bidi="ar"/>
        </w:rPr>
        <w:t>Agreement:</w:t>
      </w:r>
    </w:p>
    <w:p>
      <w:pPr>
        <w:rPr>
          <w:rFonts w:hint="eastAsia"/>
          <w:highlight w:val="none"/>
          <w:lang w:val="en-US" w:eastAsia="zh-CN" w:bidi="ar"/>
        </w:rPr>
      </w:pPr>
      <w:r>
        <w:rPr>
          <w:rFonts w:hint="eastAsia"/>
          <w:highlight w:val="none"/>
          <w:lang w:val="en-US" w:eastAsia="zh-CN" w:bidi="ar"/>
        </w:rPr>
        <w:t xml:space="preserve">For the absolute ACLR limit and relative ACLR limit for NCR-Fwd and NCR-MT simultaneous transmission, the measurement bandwidth </w:t>
      </w:r>
      <w:r>
        <w:rPr>
          <w:rFonts w:hint="eastAsia"/>
          <w:strike/>
          <w:highlight w:val="none"/>
          <w:lang w:val="en-US" w:eastAsia="zh-CN" w:bidi="ar"/>
        </w:rPr>
        <w:t>for the absolute ACLR limit</w:t>
      </w:r>
      <w:r>
        <w:rPr>
          <w:rFonts w:hint="eastAsia"/>
          <w:highlight w:val="none"/>
          <w:lang w:val="en-US" w:eastAsia="zh-CN" w:bidi="ar"/>
        </w:rPr>
        <w:t xml:space="preserve"> should be</w:t>
      </w:r>
    </w:p>
    <w:p>
      <w:pPr>
        <w:rPr>
          <w:rFonts w:hint="default"/>
          <w:highlight w:val="none"/>
          <w:lang w:val="en-US" w:eastAsia="zh-CN" w:bidi="ar"/>
        </w:rPr>
      </w:pPr>
      <w:r>
        <w:rPr>
          <w:rFonts w:hint="eastAsia"/>
          <w:highlight w:val="none"/>
          <w:lang w:val="en-US" w:eastAsia="zh-CN" w:bidi="ar"/>
        </w:rPr>
        <w:t>For the contiguous case for NCR-MT and NCR-Fwd part:</w:t>
      </w:r>
    </w:p>
    <w:p>
      <w:pPr>
        <w:numPr>
          <w:ilvl w:val="0"/>
          <w:numId w:val="5"/>
        </w:numPr>
        <w:ind w:left="420" w:hanging="420"/>
        <w:rPr>
          <w:rFonts w:hint="eastAsia"/>
          <w:highlight w:val="none"/>
          <w:lang w:val="en-US" w:eastAsia="zh-CN" w:bidi="ar"/>
        </w:rPr>
      </w:pPr>
      <w:r>
        <w:rPr>
          <w:rFonts w:hint="eastAsia"/>
          <w:highlight w:val="none"/>
          <w:lang w:val="en-US" w:eastAsia="zh-CN" w:bidi="ar"/>
        </w:rPr>
        <w:t>follow the nominal bandwidth of NCR-Fwd if NCR-MT bandwidth is placed within NCR-Fwd;</w:t>
      </w:r>
    </w:p>
    <w:p>
      <w:pPr>
        <w:numPr>
          <w:ilvl w:val="0"/>
          <w:numId w:val="5"/>
        </w:numPr>
        <w:ind w:left="420" w:hanging="420"/>
        <w:rPr>
          <w:rFonts w:hint="eastAsia"/>
          <w:highlight w:val="none"/>
          <w:lang w:val="en-US" w:bidi="ar"/>
        </w:rPr>
      </w:pPr>
      <w:r>
        <w:rPr>
          <w:rFonts w:hint="eastAsia"/>
          <w:highlight w:val="none"/>
          <w:lang w:val="en-US" w:eastAsia="zh-CN" w:bidi="ar"/>
        </w:rPr>
        <w:t>follow the nominal bandwidth of NCR-Fwd+ NCR-MT bandwdith if NCR-MT bandwidth is placed outside of NCR-Fwd;</w:t>
      </w:r>
    </w:p>
    <w:p>
      <w:pPr>
        <w:rPr>
          <w:rFonts w:hint="eastAsia"/>
          <w:highlight w:val="none"/>
          <w:lang w:val="en-US" w:eastAsia="zh-CN" w:bidi="ar"/>
        </w:rPr>
      </w:pPr>
      <w:r>
        <w:rPr>
          <w:rFonts w:hint="eastAsia"/>
          <w:highlight w:val="none"/>
          <w:lang w:val="en-US" w:eastAsia="zh-CN" w:bidi="ar"/>
        </w:rPr>
        <w:t xml:space="preserve">For the non-contiguous case for NCR-MT and NCR-Fwd part: </w:t>
      </w:r>
    </w:p>
    <w:p>
      <w:pPr>
        <w:numPr>
          <w:ilvl w:val="0"/>
          <w:numId w:val="5"/>
        </w:numPr>
        <w:ind w:left="420" w:hanging="420"/>
        <w:rPr>
          <w:rFonts w:hint="eastAsia"/>
          <w:highlight w:val="none"/>
          <w:lang w:val="en-US" w:bidi="ar"/>
        </w:rPr>
      </w:pPr>
      <w:r>
        <w:rPr>
          <w:rFonts w:hint="eastAsia"/>
          <w:highlight w:val="none"/>
          <w:lang w:val="en-US" w:eastAsia="zh-CN" w:bidi="ar"/>
        </w:rPr>
        <w:t xml:space="preserve"> to follow the CACLR principle.;</w:t>
      </w:r>
    </w:p>
    <w:p>
      <w:pPr>
        <w:numPr>
          <w:ilvl w:val="-1"/>
          <w:numId w:val="0"/>
        </w:numPr>
        <w:ind w:left="0" w:firstLine="0"/>
        <w:rPr>
          <w:rFonts w:hint="eastAsia"/>
          <w:highlight w:val="none"/>
          <w:lang w:val="en-US" w:bidi="ar"/>
        </w:rPr>
      </w:pPr>
    </w:p>
    <w:p>
      <w:pPr>
        <w:rPr>
          <w:rFonts w:hint="eastAsia"/>
          <w:highlight w:val="none"/>
          <w:lang w:val="en-US" w:eastAsia="zh-CN" w:bidi="ar"/>
        </w:rPr>
      </w:pPr>
      <w:r>
        <w:rPr>
          <w:rFonts w:hint="eastAsia"/>
          <w:highlight w:val="none"/>
          <w:lang w:val="en-US" w:eastAsia="zh-CN" w:bidi="ar"/>
        </w:rPr>
        <w:t>For scaling factor for NCR-Fwd absolute ACLR limit for contiguous case:</w:t>
      </w:r>
    </w:p>
    <w:p>
      <w:pPr>
        <w:rPr>
          <w:rFonts w:hint="eastAsia" w:ascii="Arial" w:hAnsi="Arial"/>
          <w:highlight w:val="none"/>
          <w:lang w:val="en-US" w:eastAsia="zh-CN"/>
        </w:rPr>
      </w:pPr>
      <w:r>
        <w:rPr>
          <w:rFonts w:hint="eastAsia" w:ascii="Arial" w:hAnsi="Arial"/>
          <w:highlight w:val="none"/>
          <w:lang w:val="en-US" w:eastAsia="zh-CN"/>
        </w:rPr>
        <w:t xml:space="preserve"> Agreement:</w:t>
      </w:r>
    </w:p>
    <w:p>
      <w:pPr>
        <w:rPr>
          <w:rFonts w:hint="default" w:eastAsia="等线"/>
          <w:color w:val="000000"/>
          <w:kern w:val="0"/>
          <w:szCs w:val="21"/>
          <w:highlight w:val="none"/>
          <w:lang w:val="en-US" w:eastAsia="zh-CN" w:bidi="ar"/>
        </w:rPr>
      </w:pPr>
      <w:r>
        <w:rPr>
          <w:rFonts w:hint="eastAsia" w:ascii="Arial" w:hAnsi="Arial"/>
          <w:highlight w:val="none"/>
          <w:lang w:val="en-US" w:eastAsia="zh-CN"/>
        </w:rPr>
        <w:t>For wide area NCR-fwd link, N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TXU,counted = min(NTXU,active , 8*Ncells)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 xml:space="preserve"> for emission requirement only;</w:t>
      </w:r>
    </w:p>
    <w:p>
      <w:pP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</w:pPr>
      <w:r>
        <w:rPr>
          <w:rFonts w:hint="eastAsia" w:ascii="Arial" w:hAnsi="Arial"/>
          <w:highlight w:val="none"/>
          <w:lang w:val="en-US" w:eastAsia="zh-CN"/>
        </w:rPr>
        <w:t>For local area NCR-fwd link, N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TXU,counted = min(NTXU,active ,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>4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*Ncells)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 xml:space="preserve"> ;</w:t>
      </w:r>
    </w:p>
    <w:p>
      <w:pPr>
        <w:rPr>
          <w:rFonts w:hint="eastAsia"/>
          <w:highlight w:val="none"/>
          <w:lang w:val="en-US" w:eastAsia="zh-CN" w:bidi="ar"/>
        </w:rPr>
      </w:pPr>
    </w:p>
    <w:p>
      <w:pPr>
        <w:rPr>
          <w:rFonts w:hint="eastAsia"/>
          <w:highlight w:val="none"/>
          <w:lang w:val="en-US" w:eastAsia="zh-CN" w:bidi="ar"/>
        </w:rPr>
      </w:pPr>
      <w:r>
        <w:rPr>
          <w:rFonts w:hint="eastAsia"/>
          <w:highlight w:val="none"/>
          <w:lang w:val="en-US" w:eastAsia="zh-CN" w:bidi="ar"/>
        </w:rPr>
        <w:t>For scaling factor for NCR-Fwd absolute ACLR limit for non-contiguous case:</w:t>
      </w:r>
    </w:p>
    <w:p>
      <w:pPr>
        <w:rPr>
          <w:rFonts w:hint="eastAsia" w:ascii="Arial" w:hAnsi="Arial"/>
          <w:highlight w:val="none"/>
          <w:lang w:val="en-US" w:eastAsia="zh-CN"/>
        </w:rPr>
      </w:pPr>
      <w:r>
        <w:rPr>
          <w:rFonts w:hint="eastAsia" w:ascii="Arial" w:hAnsi="Arial"/>
          <w:highlight w:val="none"/>
          <w:lang w:val="en-US" w:eastAsia="zh-CN"/>
        </w:rPr>
        <w:t>Agreement:</w:t>
      </w:r>
    </w:p>
    <w:p>
      <w:pPr>
        <w:rPr>
          <w:rFonts w:hint="eastAsia" w:ascii="Arial" w:hAnsi="Arial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 w:bidi="ar"/>
        </w:rPr>
        <w:t>To follow the CACLR principle to consider the accumulated emission;</w:t>
      </w:r>
    </w:p>
    <w:p>
      <w:pPr>
        <w:rPr>
          <w:rFonts w:hint="default" w:eastAsia="等线"/>
          <w:color w:val="000000"/>
          <w:kern w:val="0"/>
          <w:szCs w:val="21"/>
          <w:highlight w:val="none"/>
          <w:lang w:val="en-US" w:eastAsia="zh-CN" w:bidi="ar"/>
        </w:rPr>
      </w:pPr>
      <w:r>
        <w:rPr>
          <w:rFonts w:hint="eastAsia" w:ascii="Arial" w:hAnsi="Arial"/>
          <w:highlight w:val="none"/>
          <w:lang w:val="en-US" w:eastAsia="zh-CN"/>
        </w:rPr>
        <w:t>For wide area NCR-fwd link, N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TXU,counted = min(NTXU,active , 8*Ncells)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 xml:space="preserve"> for emission requirement only;</w:t>
      </w:r>
    </w:p>
    <w:p>
      <w:pP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</w:pPr>
      <w:r>
        <w:rPr>
          <w:rFonts w:hint="eastAsia" w:ascii="Arial" w:hAnsi="Arial"/>
          <w:highlight w:val="none"/>
          <w:lang w:val="en-US" w:eastAsia="zh-CN"/>
        </w:rPr>
        <w:t>For local area NCR-fwd link, N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TXU,counted = min(NTXU,active ,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>4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*Ncells)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 xml:space="preserve"> ;</w:t>
      </w:r>
    </w:p>
    <w:p>
      <w:pPr>
        <w:rPr>
          <w:rFonts w:hint="default"/>
          <w:highlight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/>
        <w:bidi w:val="0"/>
        <w:adjustRightInd/>
        <w:snapToGrid/>
        <w:spacing w:line="260" w:lineRule="auto"/>
        <w:textAlignment w:val="baseline"/>
        <w:outlineLvl w:val="9"/>
        <w:rPr>
          <w:rFonts w:hint="eastAsia"/>
          <w:highlight w:val="none"/>
          <w:lang w:val="en-US" w:bidi="ar"/>
        </w:rPr>
      </w:pPr>
      <w:r>
        <w:rPr>
          <w:rFonts w:hint="eastAsia" w:ascii="Times New Roman" w:hAnsi="Times New Roman" w:eastAsia="宋体" w:cs="Times New Roman"/>
          <w:highlight w:val="none"/>
          <w:lang w:val="en-US" w:eastAsia="zh-CN" w:bidi="ar"/>
        </w:rPr>
        <w:t xml:space="preserve">Operating band unwanted emissions </w:t>
      </w:r>
    </w:p>
    <w:p>
      <w:pPr>
        <w:rPr>
          <w:rFonts w:hint="default" w:ascii="Arial" w:hAnsi="Arial"/>
          <w:highlight w:val="none"/>
          <w:lang w:val="en-US" w:eastAsia="zh-CN"/>
        </w:rPr>
      </w:pPr>
      <w:r>
        <w:rPr>
          <w:rFonts w:hint="eastAsia" w:ascii="Arial" w:hAnsi="Arial"/>
          <w:highlight w:val="none"/>
          <w:lang w:val="en-US" w:eastAsia="zh-CN"/>
        </w:rPr>
        <w:t xml:space="preserve">For the scaling factor for OBUE requirement of NCR-Fwd part </w:t>
      </w:r>
    </w:p>
    <w:p>
      <w:pPr>
        <w:rPr>
          <w:rFonts w:hint="eastAsia" w:ascii="Arial" w:hAnsi="Arial"/>
          <w:highlight w:val="none"/>
          <w:lang w:val="en-US" w:eastAsia="zh-CN"/>
        </w:rPr>
      </w:pPr>
      <w:r>
        <w:rPr>
          <w:rFonts w:hint="eastAsia" w:ascii="Arial" w:hAnsi="Arial"/>
          <w:highlight w:val="none"/>
          <w:lang w:val="en-US" w:eastAsia="zh-CN"/>
        </w:rPr>
        <w:t>Agreement:</w:t>
      </w:r>
    </w:p>
    <w:p>
      <w:pPr>
        <w:rPr>
          <w:rFonts w:hint="default" w:eastAsia="等线"/>
          <w:color w:val="000000"/>
          <w:kern w:val="0"/>
          <w:szCs w:val="21"/>
          <w:highlight w:val="none"/>
          <w:lang w:val="en-US" w:eastAsia="zh-CN" w:bidi="ar"/>
        </w:rPr>
      </w:pPr>
      <w:r>
        <w:rPr>
          <w:rFonts w:hint="eastAsia" w:ascii="Arial" w:hAnsi="Arial"/>
          <w:highlight w:val="none"/>
          <w:lang w:val="en-US" w:eastAsia="zh-CN"/>
        </w:rPr>
        <w:t>For wide area NCR-fwd link, N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TXU,counted = min(NTXU,active , 8*Ncells)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 xml:space="preserve"> for emission requirement only;</w:t>
      </w:r>
    </w:p>
    <w:p>
      <w:pP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</w:pPr>
      <w:r>
        <w:rPr>
          <w:rFonts w:hint="eastAsia" w:ascii="Arial" w:hAnsi="Arial"/>
          <w:highlight w:val="none"/>
          <w:lang w:val="en-US" w:eastAsia="zh-CN"/>
        </w:rPr>
        <w:t>For local area NCR-fwd link, N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TXU,counted = min(NTXU,active ,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>4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*Ncells)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 xml:space="preserve"> ;</w:t>
      </w:r>
    </w:p>
    <w:p>
      <w:pPr>
        <w:rPr>
          <w:rFonts w:hint="default" w:eastAsia="等线"/>
          <w:color w:val="000000"/>
          <w:kern w:val="0"/>
          <w:szCs w:val="21"/>
          <w:highlight w:val="none"/>
          <w:lang w:val="en-US" w:eastAsia="zh-CN" w:bidi="ar"/>
        </w:rPr>
      </w:pPr>
      <w:r>
        <w:rPr>
          <w:rFonts w:hint="eastAsia" w:ascii="Arial" w:hAnsi="Arial"/>
          <w:highlight w:val="none"/>
          <w:lang w:val="en-US" w:eastAsia="zh-CN"/>
        </w:rPr>
        <w:t>For medium range  NCR-fwd link in DL, N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TXU,counted = min(NTXU,active , 8*Ncells)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 xml:space="preserve"> for emission requirement only;</w:t>
      </w:r>
    </w:p>
    <w:p>
      <w:pPr>
        <w:rPr>
          <w:rFonts w:hint="default" w:eastAsia="宋体"/>
          <w:highlight w:val="none"/>
          <w:lang w:val="en-US" w:eastAsia="zh-CN" w:bidi="ar"/>
        </w:rPr>
      </w:pPr>
    </w:p>
    <w:p>
      <w:pPr>
        <w:rPr>
          <w:rFonts w:hint="eastAsia"/>
          <w:highlight w:val="none"/>
          <w:lang w:val="en-US" w:eastAsia="zh-CN" w:bidi="ar"/>
        </w:rPr>
      </w:pPr>
      <w:r>
        <w:rPr>
          <w:rFonts w:hint="eastAsia"/>
          <w:highlight w:val="none"/>
          <w:lang w:val="en-US" w:eastAsia="zh-CN" w:bidi="ar"/>
        </w:rPr>
        <w:t>For simultaenous transmission for NCR-MT and NCR-Fwd link in the non-contiugous case:</w:t>
      </w:r>
    </w:p>
    <w:p>
      <w:pPr>
        <w:rPr>
          <w:rFonts w:hint="eastAsia"/>
          <w:highlight w:val="none"/>
          <w:lang w:val="en-US" w:eastAsia="zh-CN" w:bidi="ar"/>
        </w:rPr>
      </w:pPr>
      <w:r>
        <w:rPr>
          <w:rFonts w:hint="eastAsia"/>
          <w:highlight w:val="none"/>
          <w:lang w:val="en-US" w:eastAsia="zh-CN" w:bidi="ar"/>
        </w:rPr>
        <w:t xml:space="preserve"> To follow the BS multi-carrier approach without considering further relaxations; </w:t>
      </w:r>
    </w:p>
    <w:p>
      <w:pPr>
        <w:rPr>
          <w:rFonts w:hint="eastAsia"/>
          <w:highlight w:val="none"/>
          <w:lang w:val="en-US" w:eastAsia="zh-CN" w:bidi="ar"/>
        </w:rPr>
      </w:pPr>
    </w:p>
    <w:p>
      <w:pPr>
        <w:rPr>
          <w:rFonts w:hint="eastAsia"/>
          <w:highlight w:val="none"/>
          <w:lang w:val="en-US" w:eastAsia="zh-CN" w:bidi="ar"/>
        </w:rPr>
      </w:pPr>
      <w:r>
        <w:rPr>
          <w:rFonts w:hint="eastAsia"/>
          <w:highlight w:val="none"/>
          <w:lang w:val="en-US" w:eastAsia="zh-CN" w:bidi="ar"/>
        </w:rPr>
        <w:t>For simultaneous transmission for NCR-MT and NCR-Fwd link in the contiguous case:</w:t>
      </w:r>
    </w:p>
    <w:p>
      <w:pPr>
        <w:rPr>
          <w:rFonts w:hint="eastAsia"/>
          <w:highlight w:val="none"/>
          <w:lang w:val="en-US" w:eastAsia="zh-CN" w:bidi="ar"/>
        </w:rPr>
      </w:pPr>
      <w:r>
        <w:rPr>
          <w:rFonts w:hint="eastAsia"/>
          <w:highlight w:val="none"/>
          <w:lang w:val="en-US" w:eastAsia="zh-CN" w:bidi="ar"/>
        </w:rPr>
        <w:t xml:space="preserve">To follow the NCR-Fwd OBUE requirement for Fwd part in the uplink part; </w:t>
      </w:r>
    </w:p>
    <w:p>
      <w:pPr>
        <w:rPr>
          <w:rFonts w:hint="eastAsia"/>
          <w:highlight w:val="none"/>
          <w:lang w:val="en-US" w:bidi="ar"/>
        </w:rPr>
      </w:pP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/>
        <w:bidi w:val="0"/>
        <w:adjustRightInd/>
        <w:snapToGrid/>
        <w:spacing w:line="260" w:lineRule="auto"/>
        <w:textAlignment w:val="baseline"/>
        <w:outlineLvl w:val="9"/>
        <w:rPr>
          <w:rFonts w:hint="eastAsia" w:ascii="Times New Roman" w:hAnsi="Times New Roman" w:eastAsia="宋体" w:cs="Times New Roman"/>
          <w:highlight w:val="none"/>
          <w:lang w:val="en-US" w:eastAsia="zh-CN" w:bidi="ar"/>
        </w:rPr>
      </w:pPr>
      <w:r>
        <w:rPr>
          <w:rFonts w:hint="eastAsia" w:ascii="Times New Roman" w:hAnsi="Times New Roman" w:eastAsia="宋体" w:cs="Times New Roman"/>
          <w:highlight w:val="none"/>
          <w:lang w:val="en-US" w:eastAsia="zh-CN" w:bidi="ar"/>
        </w:rPr>
        <w:t>Transmitter spurious emissions:</w:t>
      </w:r>
    </w:p>
    <w:p>
      <w:pPr>
        <w:rPr>
          <w:rFonts w:hint="eastAsia"/>
          <w:highlight w:val="none"/>
          <w:lang w:val="en-US" w:eastAsia="zh-CN" w:bidi="ar"/>
        </w:rPr>
      </w:pPr>
      <w:r>
        <w:rPr>
          <w:rFonts w:hint="eastAsia"/>
          <w:highlight w:val="none"/>
          <w:lang w:val="en-US" w:eastAsia="zh-CN" w:bidi="ar"/>
        </w:rPr>
        <w:t>For scaling factors for NCR-Fwd part:</w:t>
      </w:r>
    </w:p>
    <w:p>
      <w:pPr>
        <w:rPr>
          <w:rFonts w:hint="default"/>
          <w:highlight w:val="none"/>
          <w:lang w:val="en-US" w:eastAsia="zh-CN" w:bidi="ar"/>
        </w:rPr>
      </w:pPr>
      <w:r>
        <w:rPr>
          <w:rFonts w:hint="eastAsia"/>
          <w:highlight w:val="none"/>
          <w:lang w:val="en-US" w:eastAsia="zh-CN" w:bidi="ar"/>
        </w:rPr>
        <w:t>Agreement:</w:t>
      </w:r>
    </w:p>
    <w:p>
      <w:pPr>
        <w:rPr>
          <w:rFonts w:hint="default" w:eastAsia="等线"/>
          <w:color w:val="000000"/>
          <w:kern w:val="0"/>
          <w:szCs w:val="21"/>
          <w:highlight w:val="none"/>
          <w:lang w:val="en-US" w:eastAsia="zh-CN" w:bidi="ar"/>
        </w:rPr>
      </w:pPr>
      <w:r>
        <w:rPr>
          <w:rFonts w:hint="eastAsia" w:ascii="Arial" w:hAnsi="Arial"/>
          <w:highlight w:val="none"/>
          <w:lang w:val="en-US" w:eastAsia="zh-CN"/>
        </w:rPr>
        <w:t>For wide area NCR-fwd link, N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TXU,counted = min(NTXU,active , 8*Ncells)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 xml:space="preserve"> for emission requirement only;</w:t>
      </w:r>
    </w:p>
    <w:p>
      <w:pP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</w:pPr>
      <w:r>
        <w:rPr>
          <w:rFonts w:hint="eastAsia" w:ascii="Arial" w:hAnsi="Arial"/>
          <w:highlight w:val="none"/>
          <w:lang w:val="en-US" w:eastAsia="zh-CN"/>
        </w:rPr>
        <w:t>For local area NCR-fwd link, N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TXU,counted = min(NTXU,active ,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>4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*Ncells)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 xml:space="preserve"> ;</w:t>
      </w:r>
    </w:p>
    <w:p>
      <w:pP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</w:pPr>
      <w:r>
        <w:rPr>
          <w:rFonts w:hint="eastAsia" w:ascii="Arial" w:hAnsi="Arial"/>
          <w:highlight w:val="none"/>
          <w:lang w:val="en-US" w:eastAsia="zh-CN"/>
        </w:rPr>
        <w:t>For medium range -NCR-fwd link in DL, N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TXU,counted = min(NTXU,active , 8*Ncells)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 xml:space="preserve"> for emission requirement only;</w:t>
      </w:r>
    </w:p>
    <w:p>
      <w:pPr>
        <w:rPr>
          <w:rFonts w:hint="eastAsia"/>
          <w:highlight w:val="none"/>
          <w:lang w:val="en-US" w:eastAsia="zh-CN" w:bidi="ar"/>
        </w:rPr>
      </w:pPr>
      <w:r>
        <w:rPr>
          <w:rFonts w:hint="eastAsia"/>
          <w:highlight w:val="none"/>
          <w:lang w:val="en-US" w:eastAsia="zh-CN" w:bidi="ar"/>
        </w:rPr>
        <w:t>For simulatenous and non-simultaneous transmission of NCR-MT and NCR-Fwd part in the uplink direction:</w:t>
      </w:r>
    </w:p>
    <w:p>
      <w:pPr>
        <w:numPr>
          <w:ilvl w:val="0"/>
          <w:numId w:val="5"/>
        </w:numPr>
        <w:ind w:left="420" w:hanging="420"/>
        <w:rPr>
          <w:rFonts w:hint="default"/>
          <w:highlight w:val="none"/>
          <w:lang w:val="en-US" w:eastAsia="zh-CN" w:bidi="ar"/>
        </w:rPr>
      </w:pPr>
      <w:r>
        <w:rPr>
          <w:rFonts w:hint="eastAsia"/>
          <w:highlight w:val="none"/>
          <w:lang w:val="en-US" w:eastAsia="zh-CN" w:bidi="ar"/>
        </w:rPr>
        <w:t xml:space="preserve">Only one limit should be defined; </w:t>
      </w:r>
    </w:p>
    <w:p>
      <w:pPr>
        <w:numPr>
          <w:ilvl w:val="0"/>
          <w:numId w:val="5"/>
        </w:numPr>
        <w:ind w:left="420" w:hanging="420"/>
        <w:rPr>
          <w:rFonts w:hint="default"/>
          <w:highlight w:val="none"/>
          <w:lang w:val="en-US" w:eastAsia="zh-CN" w:bidi="ar"/>
        </w:rPr>
      </w:pPr>
      <w:r>
        <w:rPr>
          <w:rFonts w:hint="eastAsia"/>
          <w:highlight w:val="none"/>
          <w:lang w:val="en-US" w:eastAsia="zh-CN" w:bidi="ar"/>
        </w:rPr>
        <w:t xml:space="preserve">FFS to reuse UE spurious emission or repeater spurious emission requiremeent; </w:t>
      </w:r>
    </w:p>
    <w:p>
      <w:pPr>
        <w:pStyle w:val="87"/>
        <w:spacing w:after="120"/>
        <w:ind w:firstLine="0" w:firstLineChars="0"/>
        <w:rPr>
          <w:rFonts w:hint="default" w:eastAsiaTheme="minorEastAsia"/>
          <w:i w:val="0"/>
          <w:iCs/>
          <w:color w:val="0070C0"/>
          <w:highlight w:val="none"/>
          <w:lang w:val="en-US"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D3FF90D"/>
    <w:multiLevelType w:val="singleLevel"/>
    <w:tmpl w:val="AD3FF90D"/>
    <w:lvl w:ilvl="0" w:tentative="0">
      <w:start w:val="1"/>
      <w:numFmt w:val="bullet"/>
      <w:lvlText w:val="‒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1">
    <w:nsid w:val="C2A420D1"/>
    <w:multiLevelType w:val="singleLevel"/>
    <w:tmpl w:val="C2A420D1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2">
    <w:nsid w:val="1B7AA59D"/>
    <w:multiLevelType w:val="singleLevel"/>
    <w:tmpl w:val="1B7AA59D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1212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932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652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72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92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12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532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252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72" w:hanging="360"/>
      </w:pPr>
      <w:rPr>
        <w:rFonts w:hint="default" w:ascii="Wingdings" w:hAnsi="Wingdings"/>
      </w:rPr>
    </w:lvl>
  </w:abstractNum>
  <w:abstractNum w:abstractNumId="4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425"/>
  <w:drawingGridHorizontalSpacing w:val="10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689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C3C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AAD"/>
    <w:rsid w:val="001A1C89"/>
    <w:rsid w:val="001A2689"/>
    <w:rsid w:val="001A32ED"/>
    <w:rsid w:val="001A3878"/>
    <w:rsid w:val="001A4100"/>
    <w:rsid w:val="001A49E4"/>
    <w:rsid w:val="001A4FA5"/>
    <w:rsid w:val="001A6373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3FC7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74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4E4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4C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477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75D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9C9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4BC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40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D98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40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5A32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D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2F7"/>
    <w:rsid w:val="008E2D4A"/>
    <w:rsid w:val="008E3F61"/>
    <w:rsid w:val="008E4272"/>
    <w:rsid w:val="008E43CD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2CFA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9F2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245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97F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156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84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6DD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1DF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917"/>
    <w:rsid w:val="00CA3062"/>
    <w:rsid w:val="00CA4414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8B1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A8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53B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5AA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5F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60D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473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5F6B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7E9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2E70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B51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11B17D4"/>
    <w:rsid w:val="014F57A2"/>
    <w:rsid w:val="0161069F"/>
    <w:rsid w:val="01993F08"/>
    <w:rsid w:val="01A379F7"/>
    <w:rsid w:val="01A56FAB"/>
    <w:rsid w:val="02207A05"/>
    <w:rsid w:val="02224983"/>
    <w:rsid w:val="023114DC"/>
    <w:rsid w:val="029401D0"/>
    <w:rsid w:val="02977181"/>
    <w:rsid w:val="02C75875"/>
    <w:rsid w:val="033676B5"/>
    <w:rsid w:val="034A6FAF"/>
    <w:rsid w:val="0360625D"/>
    <w:rsid w:val="036A4805"/>
    <w:rsid w:val="03A23123"/>
    <w:rsid w:val="03A80371"/>
    <w:rsid w:val="040B2E26"/>
    <w:rsid w:val="04101D8A"/>
    <w:rsid w:val="04254769"/>
    <w:rsid w:val="04316B23"/>
    <w:rsid w:val="04377C2C"/>
    <w:rsid w:val="04573544"/>
    <w:rsid w:val="04A33028"/>
    <w:rsid w:val="04A8786A"/>
    <w:rsid w:val="04C21305"/>
    <w:rsid w:val="04DF4A9A"/>
    <w:rsid w:val="059237E0"/>
    <w:rsid w:val="05A029CC"/>
    <w:rsid w:val="05D52A67"/>
    <w:rsid w:val="062731F7"/>
    <w:rsid w:val="063467E5"/>
    <w:rsid w:val="06396C93"/>
    <w:rsid w:val="065E5991"/>
    <w:rsid w:val="067D2939"/>
    <w:rsid w:val="067E7AFF"/>
    <w:rsid w:val="069A4DB8"/>
    <w:rsid w:val="06AD6DB1"/>
    <w:rsid w:val="06E67E52"/>
    <w:rsid w:val="06F90C69"/>
    <w:rsid w:val="072C24E3"/>
    <w:rsid w:val="075C7D27"/>
    <w:rsid w:val="081852B6"/>
    <w:rsid w:val="08484DE6"/>
    <w:rsid w:val="084A4093"/>
    <w:rsid w:val="084B4A5F"/>
    <w:rsid w:val="088C71C9"/>
    <w:rsid w:val="090F1D8C"/>
    <w:rsid w:val="096C5763"/>
    <w:rsid w:val="09A07B40"/>
    <w:rsid w:val="09AC4191"/>
    <w:rsid w:val="09C65402"/>
    <w:rsid w:val="09F403B7"/>
    <w:rsid w:val="0A467BD4"/>
    <w:rsid w:val="0A7A3A6F"/>
    <w:rsid w:val="0A864565"/>
    <w:rsid w:val="0A95119F"/>
    <w:rsid w:val="0AB35C28"/>
    <w:rsid w:val="0AC70E4D"/>
    <w:rsid w:val="0AEB2AFB"/>
    <w:rsid w:val="0B1B407F"/>
    <w:rsid w:val="0B1D3C61"/>
    <w:rsid w:val="0B2A42EA"/>
    <w:rsid w:val="0B861833"/>
    <w:rsid w:val="0BD30B0D"/>
    <w:rsid w:val="0C9639D1"/>
    <w:rsid w:val="0CAA6AC3"/>
    <w:rsid w:val="0CD0083C"/>
    <w:rsid w:val="0CE505BE"/>
    <w:rsid w:val="0D1D6012"/>
    <w:rsid w:val="0D1F5041"/>
    <w:rsid w:val="0D297B8A"/>
    <w:rsid w:val="0D6C0542"/>
    <w:rsid w:val="0D6D6260"/>
    <w:rsid w:val="0D6F3147"/>
    <w:rsid w:val="0DA4580A"/>
    <w:rsid w:val="0E2479EF"/>
    <w:rsid w:val="0E6526D1"/>
    <w:rsid w:val="0E7C32F1"/>
    <w:rsid w:val="0E9D1F02"/>
    <w:rsid w:val="0F0E2150"/>
    <w:rsid w:val="0F302047"/>
    <w:rsid w:val="0F3D6E4C"/>
    <w:rsid w:val="0F491372"/>
    <w:rsid w:val="0F6D5FD6"/>
    <w:rsid w:val="0F9A6DFD"/>
    <w:rsid w:val="0FC21761"/>
    <w:rsid w:val="10370C76"/>
    <w:rsid w:val="104B64B7"/>
    <w:rsid w:val="10502D2C"/>
    <w:rsid w:val="108909BA"/>
    <w:rsid w:val="10A9549C"/>
    <w:rsid w:val="114B0315"/>
    <w:rsid w:val="114F50F0"/>
    <w:rsid w:val="11513D9D"/>
    <w:rsid w:val="11A056A8"/>
    <w:rsid w:val="11A669BC"/>
    <w:rsid w:val="11CD4B5D"/>
    <w:rsid w:val="12184B7C"/>
    <w:rsid w:val="12562F4F"/>
    <w:rsid w:val="129A4A8D"/>
    <w:rsid w:val="12A467FF"/>
    <w:rsid w:val="12E62365"/>
    <w:rsid w:val="131A32F7"/>
    <w:rsid w:val="131D6292"/>
    <w:rsid w:val="13230798"/>
    <w:rsid w:val="13303256"/>
    <w:rsid w:val="133C24A6"/>
    <w:rsid w:val="141C5906"/>
    <w:rsid w:val="141D13F9"/>
    <w:rsid w:val="142D2518"/>
    <w:rsid w:val="14304C8C"/>
    <w:rsid w:val="14736A3C"/>
    <w:rsid w:val="14774D1A"/>
    <w:rsid w:val="148131EC"/>
    <w:rsid w:val="14A22F12"/>
    <w:rsid w:val="14CA58C0"/>
    <w:rsid w:val="14E9666F"/>
    <w:rsid w:val="15147527"/>
    <w:rsid w:val="155D054E"/>
    <w:rsid w:val="158004EE"/>
    <w:rsid w:val="15906F8D"/>
    <w:rsid w:val="15B6151F"/>
    <w:rsid w:val="15B67958"/>
    <w:rsid w:val="15CC2FF7"/>
    <w:rsid w:val="1638470C"/>
    <w:rsid w:val="16B769EB"/>
    <w:rsid w:val="16EF560B"/>
    <w:rsid w:val="171E4FFA"/>
    <w:rsid w:val="17307051"/>
    <w:rsid w:val="174F626F"/>
    <w:rsid w:val="17637892"/>
    <w:rsid w:val="177609E7"/>
    <w:rsid w:val="17794CBF"/>
    <w:rsid w:val="17FF39FF"/>
    <w:rsid w:val="18217321"/>
    <w:rsid w:val="18615A28"/>
    <w:rsid w:val="18806C9E"/>
    <w:rsid w:val="1886040C"/>
    <w:rsid w:val="18971F6D"/>
    <w:rsid w:val="18B25C57"/>
    <w:rsid w:val="18B451EE"/>
    <w:rsid w:val="18DF34D9"/>
    <w:rsid w:val="18E04972"/>
    <w:rsid w:val="19337DCC"/>
    <w:rsid w:val="1934677A"/>
    <w:rsid w:val="19453C57"/>
    <w:rsid w:val="19D04FD4"/>
    <w:rsid w:val="19D531E8"/>
    <w:rsid w:val="1A5A03C2"/>
    <w:rsid w:val="1AD15F16"/>
    <w:rsid w:val="1AD2083C"/>
    <w:rsid w:val="1AEF678B"/>
    <w:rsid w:val="1B0309BE"/>
    <w:rsid w:val="1B2D79CD"/>
    <w:rsid w:val="1C067DE7"/>
    <w:rsid w:val="1C1127CD"/>
    <w:rsid w:val="1C3C3F27"/>
    <w:rsid w:val="1C91599E"/>
    <w:rsid w:val="1C9408FD"/>
    <w:rsid w:val="1CD87D0B"/>
    <w:rsid w:val="1CF47AF1"/>
    <w:rsid w:val="1D1835B6"/>
    <w:rsid w:val="1D32360A"/>
    <w:rsid w:val="1D4C1EE9"/>
    <w:rsid w:val="1D741944"/>
    <w:rsid w:val="1D940B76"/>
    <w:rsid w:val="1D9416B2"/>
    <w:rsid w:val="1E136F82"/>
    <w:rsid w:val="1E140EA0"/>
    <w:rsid w:val="1E9C41B7"/>
    <w:rsid w:val="1EBF2BF0"/>
    <w:rsid w:val="1EC919BF"/>
    <w:rsid w:val="1EF01166"/>
    <w:rsid w:val="1F4705C3"/>
    <w:rsid w:val="1F7138F1"/>
    <w:rsid w:val="1F9B19AE"/>
    <w:rsid w:val="1FB73AAB"/>
    <w:rsid w:val="1FF57DEB"/>
    <w:rsid w:val="20153BA1"/>
    <w:rsid w:val="202835A9"/>
    <w:rsid w:val="20501486"/>
    <w:rsid w:val="20891E56"/>
    <w:rsid w:val="20E85DEF"/>
    <w:rsid w:val="211175E1"/>
    <w:rsid w:val="213F0D56"/>
    <w:rsid w:val="2148239E"/>
    <w:rsid w:val="216653B0"/>
    <w:rsid w:val="21864CB6"/>
    <w:rsid w:val="220D04E5"/>
    <w:rsid w:val="22202406"/>
    <w:rsid w:val="22956388"/>
    <w:rsid w:val="22A1313E"/>
    <w:rsid w:val="22B93021"/>
    <w:rsid w:val="231D697F"/>
    <w:rsid w:val="232F532E"/>
    <w:rsid w:val="234931CD"/>
    <w:rsid w:val="23792988"/>
    <w:rsid w:val="238508AF"/>
    <w:rsid w:val="23950B54"/>
    <w:rsid w:val="24931E5E"/>
    <w:rsid w:val="24B5700C"/>
    <w:rsid w:val="24CC06CB"/>
    <w:rsid w:val="24E710A5"/>
    <w:rsid w:val="24FD0C42"/>
    <w:rsid w:val="25001F1C"/>
    <w:rsid w:val="252926B4"/>
    <w:rsid w:val="253B23BF"/>
    <w:rsid w:val="256C6BAD"/>
    <w:rsid w:val="25BB2ED5"/>
    <w:rsid w:val="25E124ED"/>
    <w:rsid w:val="25F5608D"/>
    <w:rsid w:val="26057C0B"/>
    <w:rsid w:val="262A0FC5"/>
    <w:rsid w:val="2660177B"/>
    <w:rsid w:val="267E0B13"/>
    <w:rsid w:val="26D40E72"/>
    <w:rsid w:val="26D57D83"/>
    <w:rsid w:val="27542B52"/>
    <w:rsid w:val="275814A9"/>
    <w:rsid w:val="2758282F"/>
    <w:rsid w:val="2759520B"/>
    <w:rsid w:val="28031259"/>
    <w:rsid w:val="28151B92"/>
    <w:rsid w:val="28C5326F"/>
    <w:rsid w:val="28C74028"/>
    <w:rsid w:val="28DD0F12"/>
    <w:rsid w:val="29782064"/>
    <w:rsid w:val="2979639C"/>
    <w:rsid w:val="29850FFF"/>
    <w:rsid w:val="29F7110B"/>
    <w:rsid w:val="2A152875"/>
    <w:rsid w:val="2ABC2482"/>
    <w:rsid w:val="2AE62C95"/>
    <w:rsid w:val="2AE91593"/>
    <w:rsid w:val="2B03249C"/>
    <w:rsid w:val="2B322E2E"/>
    <w:rsid w:val="2B637355"/>
    <w:rsid w:val="2BB03F73"/>
    <w:rsid w:val="2BF5313F"/>
    <w:rsid w:val="2C4E0F14"/>
    <w:rsid w:val="2C660BAD"/>
    <w:rsid w:val="2C946D45"/>
    <w:rsid w:val="2CD7184A"/>
    <w:rsid w:val="2CD927BC"/>
    <w:rsid w:val="2D5F6EE1"/>
    <w:rsid w:val="2DD85514"/>
    <w:rsid w:val="2DF841EB"/>
    <w:rsid w:val="2E2339D3"/>
    <w:rsid w:val="2E46730F"/>
    <w:rsid w:val="2E5C466B"/>
    <w:rsid w:val="2E643F62"/>
    <w:rsid w:val="2EB86A5A"/>
    <w:rsid w:val="2F27647B"/>
    <w:rsid w:val="2F8B1999"/>
    <w:rsid w:val="2F95455C"/>
    <w:rsid w:val="2FAC2BA9"/>
    <w:rsid w:val="30051F23"/>
    <w:rsid w:val="302442D9"/>
    <w:rsid w:val="303460F0"/>
    <w:rsid w:val="305808D2"/>
    <w:rsid w:val="30624D6B"/>
    <w:rsid w:val="307E7C08"/>
    <w:rsid w:val="30B04189"/>
    <w:rsid w:val="30C72E79"/>
    <w:rsid w:val="310E26EB"/>
    <w:rsid w:val="316C3873"/>
    <w:rsid w:val="318B50BA"/>
    <w:rsid w:val="31AE0F7B"/>
    <w:rsid w:val="321C4572"/>
    <w:rsid w:val="32D73973"/>
    <w:rsid w:val="32E41A9D"/>
    <w:rsid w:val="32F644CA"/>
    <w:rsid w:val="33024B42"/>
    <w:rsid w:val="331731F7"/>
    <w:rsid w:val="337C596E"/>
    <w:rsid w:val="34166F07"/>
    <w:rsid w:val="34211DC3"/>
    <w:rsid w:val="342A7E04"/>
    <w:rsid w:val="34457C7B"/>
    <w:rsid w:val="34562BD9"/>
    <w:rsid w:val="349011AD"/>
    <w:rsid w:val="34B7420A"/>
    <w:rsid w:val="34E838FF"/>
    <w:rsid w:val="35012C3B"/>
    <w:rsid w:val="3581299E"/>
    <w:rsid w:val="359927A7"/>
    <w:rsid w:val="35CE36F4"/>
    <w:rsid w:val="36425C10"/>
    <w:rsid w:val="36545850"/>
    <w:rsid w:val="365509D9"/>
    <w:rsid w:val="36C86B4B"/>
    <w:rsid w:val="36D929B3"/>
    <w:rsid w:val="36E376B5"/>
    <w:rsid w:val="36E54FE5"/>
    <w:rsid w:val="372825BF"/>
    <w:rsid w:val="374851A2"/>
    <w:rsid w:val="37547BED"/>
    <w:rsid w:val="37A56745"/>
    <w:rsid w:val="37CB439B"/>
    <w:rsid w:val="37D94BB5"/>
    <w:rsid w:val="380106D8"/>
    <w:rsid w:val="38114253"/>
    <w:rsid w:val="38201F58"/>
    <w:rsid w:val="382152E9"/>
    <w:rsid w:val="382372A5"/>
    <w:rsid w:val="38524008"/>
    <w:rsid w:val="38B516B5"/>
    <w:rsid w:val="38E40EC7"/>
    <w:rsid w:val="38E46EE6"/>
    <w:rsid w:val="392A2EEE"/>
    <w:rsid w:val="397B2105"/>
    <w:rsid w:val="39992131"/>
    <w:rsid w:val="399D0C47"/>
    <w:rsid w:val="39C27A74"/>
    <w:rsid w:val="39F76E63"/>
    <w:rsid w:val="3A064B74"/>
    <w:rsid w:val="3A141F6C"/>
    <w:rsid w:val="3A165225"/>
    <w:rsid w:val="3A3A37F9"/>
    <w:rsid w:val="3A7C2502"/>
    <w:rsid w:val="3A875FDF"/>
    <w:rsid w:val="3AA052FB"/>
    <w:rsid w:val="3B0F4575"/>
    <w:rsid w:val="3B375142"/>
    <w:rsid w:val="3B447DC6"/>
    <w:rsid w:val="3BA50EFF"/>
    <w:rsid w:val="3BEC12F8"/>
    <w:rsid w:val="3C3571D4"/>
    <w:rsid w:val="3C7D3028"/>
    <w:rsid w:val="3C916A88"/>
    <w:rsid w:val="3CA95CFB"/>
    <w:rsid w:val="3CCF6E23"/>
    <w:rsid w:val="3CEC0EAA"/>
    <w:rsid w:val="3D2C3BFB"/>
    <w:rsid w:val="3D604A2D"/>
    <w:rsid w:val="3D636270"/>
    <w:rsid w:val="3D895406"/>
    <w:rsid w:val="3D946AC2"/>
    <w:rsid w:val="3DD526CA"/>
    <w:rsid w:val="3E217D33"/>
    <w:rsid w:val="3E4003D1"/>
    <w:rsid w:val="3E6574CD"/>
    <w:rsid w:val="3F3A5985"/>
    <w:rsid w:val="3F483164"/>
    <w:rsid w:val="3F5B2C54"/>
    <w:rsid w:val="401B2443"/>
    <w:rsid w:val="408C5231"/>
    <w:rsid w:val="410913DA"/>
    <w:rsid w:val="41542A12"/>
    <w:rsid w:val="41877659"/>
    <w:rsid w:val="41940949"/>
    <w:rsid w:val="41A85070"/>
    <w:rsid w:val="41CB7CA6"/>
    <w:rsid w:val="41D506BB"/>
    <w:rsid w:val="41EF7F1F"/>
    <w:rsid w:val="423C4AAA"/>
    <w:rsid w:val="42AB5722"/>
    <w:rsid w:val="42D55508"/>
    <w:rsid w:val="42DC39FA"/>
    <w:rsid w:val="43205793"/>
    <w:rsid w:val="4321075F"/>
    <w:rsid w:val="4335357A"/>
    <w:rsid w:val="43551367"/>
    <w:rsid w:val="43D47DA0"/>
    <w:rsid w:val="43F438D8"/>
    <w:rsid w:val="44302DF3"/>
    <w:rsid w:val="447D0C67"/>
    <w:rsid w:val="44B40D3D"/>
    <w:rsid w:val="44E45682"/>
    <w:rsid w:val="450B6A79"/>
    <w:rsid w:val="453B25F9"/>
    <w:rsid w:val="45B17F93"/>
    <w:rsid w:val="45DA3853"/>
    <w:rsid w:val="45FA07D0"/>
    <w:rsid w:val="46242613"/>
    <w:rsid w:val="467D52CE"/>
    <w:rsid w:val="46917266"/>
    <w:rsid w:val="46A95BF4"/>
    <w:rsid w:val="47082F49"/>
    <w:rsid w:val="476B14FD"/>
    <w:rsid w:val="4782783F"/>
    <w:rsid w:val="47AA2DD2"/>
    <w:rsid w:val="47C81885"/>
    <w:rsid w:val="480238E5"/>
    <w:rsid w:val="48297809"/>
    <w:rsid w:val="482E5EC0"/>
    <w:rsid w:val="486A7EDB"/>
    <w:rsid w:val="48873377"/>
    <w:rsid w:val="48C418DE"/>
    <w:rsid w:val="48FE69A5"/>
    <w:rsid w:val="49235152"/>
    <w:rsid w:val="4930333B"/>
    <w:rsid w:val="49570114"/>
    <w:rsid w:val="49724F29"/>
    <w:rsid w:val="49934D61"/>
    <w:rsid w:val="49C6688E"/>
    <w:rsid w:val="4A7172F6"/>
    <w:rsid w:val="4B085909"/>
    <w:rsid w:val="4B991985"/>
    <w:rsid w:val="4B9C56DF"/>
    <w:rsid w:val="4BB12379"/>
    <w:rsid w:val="4BF837D2"/>
    <w:rsid w:val="4C401BFB"/>
    <w:rsid w:val="4C470E37"/>
    <w:rsid w:val="4CB04572"/>
    <w:rsid w:val="4CC40142"/>
    <w:rsid w:val="4CEA793E"/>
    <w:rsid w:val="4D0B415B"/>
    <w:rsid w:val="4D384C5E"/>
    <w:rsid w:val="4D3A3368"/>
    <w:rsid w:val="4D661BD9"/>
    <w:rsid w:val="4D710FD3"/>
    <w:rsid w:val="4DCD2113"/>
    <w:rsid w:val="4DF23AA7"/>
    <w:rsid w:val="4E0706ED"/>
    <w:rsid w:val="4E0B7D64"/>
    <w:rsid w:val="4E3C6CFA"/>
    <w:rsid w:val="4E527AE5"/>
    <w:rsid w:val="4E6B49BA"/>
    <w:rsid w:val="4EB57F2A"/>
    <w:rsid w:val="4EF21D55"/>
    <w:rsid w:val="4F441E2A"/>
    <w:rsid w:val="4F4C641E"/>
    <w:rsid w:val="4F545121"/>
    <w:rsid w:val="4F742231"/>
    <w:rsid w:val="4F85712F"/>
    <w:rsid w:val="4F9B779E"/>
    <w:rsid w:val="4FA10E05"/>
    <w:rsid w:val="50121FCC"/>
    <w:rsid w:val="5037224D"/>
    <w:rsid w:val="50912F82"/>
    <w:rsid w:val="50C962CB"/>
    <w:rsid w:val="50D40D95"/>
    <w:rsid w:val="51091670"/>
    <w:rsid w:val="5140604B"/>
    <w:rsid w:val="51832F88"/>
    <w:rsid w:val="518F5CDD"/>
    <w:rsid w:val="51BD5B04"/>
    <w:rsid w:val="51DD0D57"/>
    <w:rsid w:val="521238CB"/>
    <w:rsid w:val="52954685"/>
    <w:rsid w:val="52A60C1E"/>
    <w:rsid w:val="53517A6B"/>
    <w:rsid w:val="53956DC5"/>
    <w:rsid w:val="53A03BFA"/>
    <w:rsid w:val="53A52556"/>
    <w:rsid w:val="53A96824"/>
    <w:rsid w:val="543B0A67"/>
    <w:rsid w:val="54550F10"/>
    <w:rsid w:val="545B7212"/>
    <w:rsid w:val="54A605D4"/>
    <w:rsid w:val="54D6764B"/>
    <w:rsid w:val="54F01EEF"/>
    <w:rsid w:val="55163E5B"/>
    <w:rsid w:val="55305CFC"/>
    <w:rsid w:val="55387FCD"/>
    <w:rsid w:val="555966F0"/>
    <w:rsid w:val="55940B01"/>
    <w:rsid w:val="55BF6693"/>
    <w:rsid w:val="562B6CEE"/>
    <w:rsid w:val="568E6375"/>
    <w:rsid w:val="56BC1ECE"/>
    <w:rsid w:val="571269E1"/>
    <w:rsid w:val="57300C98"/>
    <w:rsid w:val="57431A44"/>
    <w:rsid w:val="5751351F"/>
    <w:rsid w:val="57F81E57"/>
    <w:rsid w:val="58505756"/>
    <w:rsid w:val="5895248C"/>
    <w:rsid w:val="58A70901"/>
    <w:rsid w:val="58E27CE2"/>
    <w:rsid w:val="58EF1764"/>
    <w:rsid w:val="599A3124"/>
    <w:rsid w:val="59B465EC"/>
    <w:rsid w:val="59C50A90"/>
    <w:rsid w:val="59DE7EC2"/>
    <w:rsid w:val="5A081611"/>
    <w:rsid w:val="5A7B667C"/>
    <w:rsid w:val="5A7D256E"/>
    <w:rsid w:val="5A9C15E1"/>
    <w:rsid w:val="5AB318EC"/>
    <w:rsid w:val="5B412EC5"/>
    <w:rsid w:val="5B446EDF"/>
    <w:rsid w:val="5B460263"/>
    <w:rsid w:val="5B4756A4"/>
    <w:rsid w:val="5B99776A"/>
    <w:rsid w:val="5BA306B6"/>
    <w:rsid w:val="5C5A50A9"/>
    <w:rsid w:val="5CA21F53"/>
    <w:rsid w:val="5D166FA1"/>
    <w:rsid w:val="5D64614D"/>
    <w:rsid w:val="5D6F0A1C"/>
    <w:rsid w:val="5D765ADA"/>
    <w:rsid w:val="5EB05FB0"/>
    <w:rsid w:val="5EB10CAD"/>
    <w:rsid w:val="5ED955F8"/>
    <w:rsid w:val="5F317902"/>
    <w:rsid w:val="5F645C40"/>
    <w:rsid w:val="5F880C20"/>
    <w:rsid w:val="5F952EAD"/>
    <w:rsid w:val="6018714A"/>
    <w:rsid w:val="60627D00"/>
    <w:rsid w:val="6077058D"/>
    <w:rsid w:val="608D1FBB"/>
    <w:rsid w:val="60D661AE"/>
    <w:rsid w:val="612B3A50"/>
    <w:rsid w:val="614B0980"/>
    <w:rsid w:val="61B665C4"/>
    <w:rsid w:val="62126D0E"/>
    <w:rsid w:val="624108BA"/>
    <w:rsid w:val="62F31145"/>
    <w:rsid w:val="63175399"/>
    <w:rsid w:val="634B7A11"/>
    <w:rsid w:val="63A709CE"/>
    <w:rsid w:val="63AC0B80"/>
    <w:rsid w:val="63F824AD"/>
    <w:rsid w:val="64097ADA"/>
    <w:rsid w:val="640D4579"/>
    <w:rsid w:val="641A6450"/>
    <w:rsid w:val="641E03D0"/>
    <w:rsid w:val="645A59DA"/>
    <w:rsid w:val="64F1679F"/>
    <w:rsid w:val="6535386A"/>
    <w:rsid w:val="656E1EA5"/>
    <w:rsid w:val="664E69A6"/>
    <w:rsid w:val="66741821"/>
    <w:rsid w:val="66A41C30"/>
    <w:rsid w:val="66BB67EC"/>
    <w:rsid w:val="672107F2"/>
    <w:rsid w:val="67BC160E"/>
    <w:rsid w:val="67D25888"/>
    <w:rsid w:val="67E003A2"/>
    <w:rsid w:val="68373100"/>
    <w:rsid w:val="68934EB5"/>
    <w:rsid w:val="68960123"/>
    <w:rsid w:val="68985CF0"/>
    <w:rsid w:val="68CD05A2"/>
    <w:rsid w:val="691E11BC"/>
    <w:rsid w:val="692C67D9"/>
    <w:rsid w:val="69356F95"/>
    <w:rsid w:val="695031C6"/>
    <w:rsid w:val="69917BED"/>
    <w:rsid w:val="69A57B59"/>
    <w:rsid w:val="69EF54FA"/>
    <w:rsid w:val="6A841B52"/>
    <w:rsid w:val="6A872892"/>
    <w:rsid w:val="6AC64296"/>
    <w:rsid w:val="6B0C191D"/>
    <w:rsid w:val="6B1113EA"/>
    <w:rsid w:val="6B291AC2"/>
    <w:rsid w:val="6B6306D8"/>
    <w:rsid w:val="6B771B75"/>
    <w:rsid w:val="6BAD3C5D"/>
    <w:rsid w:val="6BCD1F66"/>
    <w:rsid w:val="6BD22D10"/>
    <w:rsid w:val="6C1E5D41"/>
    <w:rsid w:val="6C4D0EE4"/>
    <w:rsid w:val="6C5E4D95"/>
    <w:rsid w:val="6C64054F"/>
    <w:rsid w:val="6CBA2E1D"/>
    <w:rsid w:val="6D7E311D"/>
    <w:rsid w:val="6D8E54B6"/>
    <w:rsid w:val="6DBB2DC6"/>
    <w:rsid w:val="6E201B68"/>
    <w:rsid w:val="6E410EBD"/>
    <w:rsid w:val="6E675472"/>
    <w:rsid w:val="6E7B4B6C"/>
    <w:rsid w:val="6EBA4107"/>
    <w:rsid w:val="6ECD588F"/>
    <w:rsid w:val="6F0A3EB4"/>
    <w:rsid w:val="6F21030C"/>
    <w:rsid w:val="6F8D2E83"/>
    <w:rsid w:val="6F9F7359"/>
    <w:rsid w:val="6FCF0067"/>
    <w:rsid w:val="70025C90"/>
    <w:rsid w:val="70326F3D"/>
    <w:rsid w:val="704903B8"/>
    <w:rsid w:val="70531808"/>
    <w:rsid w:val="70C608BE"/>
    <w:rsid w:val="70CC14B7"/>
    <w:rsid w:val="70E529B8"/>
    <w:rsid w:val="712F05F8"/>
    <w:rsid w:val="71503782"/>
    <w:rsid w:val="7159098D"/>
    <w:rsid w:val="71652EE0"/>
    <w:rsid w:val="71996A62"/>
    <w:rsid w:val="71C550FA"/>
    <w:rsid w:val="71FA68F4"/>
    <w:rsid w:val="72746F41"/>
    <w:rsid w:val="72DC6BEC"/>
    <w:rsid w:val="730D3329"/>
    <w:rsid w:val="731B117A"/>
    <w:rsid w:val="733A2A28"/>
    <w:rsid w:val="74373659"/>
    <w:rsid w:val="74453431"/>
    <w:rsid w:val="74600BBC"/>
    <w:rsid w:val="74710270"/>
    <w:rsid w:val="7480655E"/>
    <w:rsid w:val="748F036D"/>
    <w:rsid w:val="74B963D7"/>
    <w:rsid w:val="74DE0AD8"/>
    <w:rsid w:val="74E96256"/>
    <w:rsid w:val="74F875E4"/>
    <w:rsid w:val="75000A30"/>
    <w:rsid w:val="753246A3"/>
    <w:rsid w:val="75532172"/>
    <w:rsid w:val="756537CF"/>
    <w:rsid w:val="756C3574"/>
    <w:rsid w:val="75A04E0F"/>
    <w:rsid w:val="75BD0535"/>
    <w:rsid w:val="75E43616"/>
    <w:rsid w:val="760D3446"/>
    <w:rsid w:val="76237E13"/>
    <w:rsid w:val="763C35C2"/>
    <w:rsid w:val="76816645"/>
    <w:rsid w:val="76843750"/>
    <w:rsid w:val="76913F70"/>
    <w:rsid w:val="7697287F"/>
    <w:rsid w:val="769C6AD1"/>
    <w:rsid w:val="76C41143"/>
    <w:rsid w:val="771C1592"/>
    <w:rsid w:val="774F4848"/>
    <w:rsid w:val="778575B4"/>
    <w:rsid w:val="7797669F"/>
    <w:rsid w:val="77C07083"/>
    <w:rsid w:val="77D671B1"/>
    <w:rsid w:val="77EE7694"/>
    <w:rsid w:val="781900CE"/>
    <w:rsid w:val="784A24C1"/>
    <w:rsid w:val="7867307F"/>
    <w:rsid w:val="78881741"/>
    <w:rsid w:val="78A70FCA"/>
    <w:rsid w:val="78BD65FB"/>
    <w:rsid w:val="78C90760"/>
    <w:rsid w:val="78D93A8B"/>
    <w:rsid w:val="79261FD4"/>
    <w:rsid w:val="79272D7A"/>
    <w:rsid w:val="79635F91"/>
    <w:rsid w:val="796631F3"/>
    <w:rsid w:val="79B15D6E"/>
    <w:rsid w:val="79C97DAC"/>
    <w:rsid w:val="79EF3A9F"/>
    <w:rsid w:val="7A0B60B0"/>
    <w:rsid w:val="7A4F45D9"/>
    <w:rsid w:val="7A515AE3"/>
    <w:rsid w:val="7A634335"/>
    <w:rsid w:val="7A777780"/>
    <w:rsid w:val="7A7B737F"/>
    <w:rsid w:val="7A9A10AC"/>
    <w:rsid w:val="7A9A1912"/>
    <w:rsid w:val="7AB358CA"/>
    <w:rsid w:val="7AC85B9A"/>
    <w:rsid w:val="7B0A273D"/>
    <w:rsid w:val="7B154E9F"/>
    <w:rsid w:val="7B7F6994"/>
    <w:rsid w:val="7B9E0993"/>
    <w:rsid w:val="7BF12B0C"/>
    <w:rsid w:val="7C070D8B"/>
    <w:rsid w:val="7C1B749B"/>
    <w:rsid w:val="7C294ED3"/>
    <w:rsid w:val="7C563D48"/>
    <w:rsid w:val="7C915B97"/>
    <w:rsid w:val="7CF746F0"/>
    <w:rsid w:val="7D190D9F"/>
    <w:rsid w:val="7D274D91"/>
    <w:rsid w:val="7D417001"/>
    <w:rsid w:val="7D7A6B81"/>
    <w:rsid w:val="7D8037CA"/>
    <w:rsid w:val="7D865775"/>
    <w:rsid w:val="7E122E21"/>
    <w:rsid w:val="7E592FC9"/>
    <w:rsid w:val="7E5C3A73"/>
    <w:rsid w:val="7E6D5667"/>
    <w:rsid w:val="7EDE6FA8"/>
    <w:rsid w:val="7EDF6B91"/>
    <w:rsid w:val="7EE7105C"/>
    <w:rsid w:val="7EFE6536"/>
    <w:rsid w:val="7F4D0A32"/>
    <w:rsid w:val="7F651FC5"/>
    <w:rsid w:val="7F9D3C46"/>
    <w:rsid w:val="7FD6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iPriority="0" w:semiHidden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iPriority="0" w:semiHidden="0" w:name="header"/>
    <w:lsdException w:qFormat="1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0" w:semiHidden="0" w:name="Balloon Text"/>
    <w:lsdException w:qFormat="1" w:unhideWhenUsed="0" w:uiPriority="39" w:semiHidden="0" w:name="Table Grid"/>
    <w:lsdException w:unhideWhenUsed="0" w:uiPriority="99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2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9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67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64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65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68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13"/>
    <w:qFormat/>
    <w:uiPriority w:val="0"/>
  </w:style>
  <w:style w:type="paragraph" w:styleId="27">
    <w:name w:val="caption"/>
    <w:basedOn w:val="1"/>
    <w:next w:val="1"/>
    <w:link w:val="111"/>
    <w:qFormat/>
    <w:uiPriority w:val="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28">
    <w:name w:val="Document Map"/>
    <w:basedOn w:val="1"/>
    <w:link w:val="66"/>
    <w:unhideWhenUsed/>
    <w:qFormat/>
    <w:uiPriority w:val="0"/>
    <w:rPr>
      <w:rFonts w:ascii="宋体"/>
      <w:sz w:val="18"/>
      <w:szCs w:val="18"/>
    </w:rPr>
  </w:style>
  <w:style w:type="paragraph" w:styleId="29">
    <w:name w:val="annotation text"/>
    <w:basedOn w:val="1"/>
    <w:link w:val="103"/>
    <w:qFormat/>
    <w:uiPriority w:val="99"/>
  </w:style>
  <w:style w:type="paragraph" w:styleId="30">
    <w:name w:val="Body Text"/>
    <w:basedOn w:val="1"/>
    <w:link w:val="80"/>
    <w:qFormat/>
    <w:uiPriority w:val="0"/>
  </w:style>
  <w:style w:type="paragraph" w:styleId="31">
    <w:name w:val="Plain Text"/>
    <w:basedOn w:val="1"/>
    <w:link w:val="104"/>
    <w:qFormat/>
    <w:uiPriority w:val="99"/>
    <w:rPr>
      <w:rFonts w:ascii="Courier New" w:hAnsi="Courier New"/>
      <w:lang w:val="nb-NO"/>
    </w:rPr>
  </w:style>
  <w:style w:type="paragraph" w:styleId="32">
    <w:name w:val="List Bullet 5"/>
    <w:basedOn w:val="23"/>
    <w:qFormat/>
    <w:uiPriority w:val="0"/>
    <w:pPr>
      <w:ind w:left="1702"/>
    </w:pPr>
  </w:style>
  <w:style w:type="paragraph" w:styleId="33">
    <w:name w:val="toc 8"/>
    <w:basedOn w:val="20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101"/>
    <w:unhideWhenUsed/>
    <w:qFormat/>
    <w:uiPriority w:val="99"/>
    <w:pPr>
      <w:ind w:left="100" w:leftChars="2500"/>
    </w:pPr>
  </w:style>
  <w:style w:type="paragraph" w:styleId="35">
    <w:name w:val="Body Text Indent 2"/>
    <w:basedOn w:val="1"/>
    <w:link w:val="105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63"/>
    <w:unhideWhenUsed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1"/>
    <w:link w:val="100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9">
    <w:name w:val="header"/>
    <w:basedOn w:val="1"/>
    <w:link w:val="5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1"/>
    <w:qFormat/>
    <w:uiPriority w:val="0"/>
    <w:pPr>
      <w:ind w:left="1418"/>
    </w:pPr>
  </w:style>
  <w:style w:type="paragraph" w:styleId="44">
    <w:name w:val="toc 9"/>
    <w:basedOn w:val="33"/>
    <w:next w:val="1"/>
    <w:qFormat/>
    <w:uiPriority w:val="0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6">
    <w:name w:val="index 1"/>
    <w:basedOn w:val="1"/>
    <w:next w:val="1"/>
    <w:unhideWhenUsed/>
    <w:qFormat/>
    <w:uiPriority w:val="0"/>
    <w:pPr>
      <w:ind w:left="200" w:hanging="200"/>
    </w:pPr>
  </w:style>
  <w:style w:type="paragraph" w:styleId="47">
    <w:name w:val="index 2"/>
    <w:basedOn w:val="46"/>
    <w:next w:val="1"/>
    <w:semiHidden/>
    <w:qFormat/>
    <w:uiPriority w:val="0"/>
    <w:pPr>
      <w:keepLines/>
      <w:spacing w:after="0"/>
      <w:ind w:left="284" w:firstLine="0"/>
    </w:pPr>
  </w:style>
  <w:style w:type="paragraph" w:styleId="48">
    <w:name w:val="annotation subject"/>
    <w:basedOn w:val="29"/>
    <w:next w:val="29"/>
    <w:link w:val="106"/>
    <w:qFormat/>
    <w:uiPriority w:val="0"/>
    <w:rPr>
      <w:b/>
      <w:bCs/>
    </w:rPr>
  </w:style>
  <w:style w:type="table" w:styleId="50">
    <w:name w:val="Table Grid"/>
    <w:basedOn w:val="4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character" w:customStyle="1" w:styleId="58">
    <w:name w:val="Footnote Text Char"/>
    <w:link w:val="41"/>
    <w:semiHidden/>
    <w:qFormat/>
    <w:uiPriority w:val="0"/>
    <w:rPr>
      <w:rFonts w:ascii="Times New Roman" w:hAnsi="Times New Roman"/>
      <w:sz w:val="16"/>
      <w:lang w:eastAsia="en-US"/>
    </w:rPr>
  </w:style>
  <w:style w:type="character" w:customStyle="1" w:styleId="59">
    <w:name w:val="Header Char"/>
    <w:link w:val="39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0">
    <w:name w:val="TAH Car"/>
    <w:link w:val="61"/>
    <w:qFormat/>
    <w:uiPriority w:val="99"/>
    <w:rPr>
      <w:rFonts w:ascii="Arial" w:hAnsi="Arial" w:eastAsia="Times New Roman" w:cs="Arial"/>
      <w:b/>
      <w:bCs/>
      <w:sz w:val="18"/>
      <w:szCs w:val="18"/>
      <w:lang w:val="en-GB" w:eastAsia="ja-JP"/>
    </w:rPr>
  </w:style>
  <w:style w:type="paragraph" w:customStyle="1" w:styleId="61">
    <w:name w:val="TAH"/>
    <w:basedOn w:val="1"/>
    <w:link w:val="60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Times New Roman"/>
      <w:b/>
      <w:bCs/>
      <w:sz w:val="18"/>
      <w:szCs w:val="18"/>
      <w:lang w:eastAsia="ja-JP"/>
    </w:rPr>
  </w:style>
  <w:style w:type="character" w:customStyle="1" w:styleId="62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63">
    <w:name w:val="Balloon Text Char"/>
    <w:link w:val="37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4">
    <w:name w:val="Heading 7 Char"/>
    <w:link w:val="8"/>
    <w:qFormat/>
    <w:uiPriority w:val="0"/>
    <w:rPr>
      <w:rFonts w:ascii="Arial" w:hAnsi="Arial"/>
      <w:lang w:eastAsia="en-US"/>
    </w:rPr>
  </w:style>
  <w:style w:type="character" w:customStyle="1" w:styleId="65">
    <w:name w:val="Heading 8 Char"/>
    <w:link w:val="9"/>
    <w:qFormat/>
    <w:uiPriority w:val="0"/>
    <w:rPr>
      <w:rFonts w:ascii="Arial" w:hAnsi="Arial"/>
      <w:sz w:val="36"/>
      <w:lang w:eastAsia="en-US"/>
    </w:rPr>
  </w:style>
  <w:style w:type="character" w:customStyle="1" w:styleId="66">
    <w:name w:val="Document Map Char"/>
    <w:link w:val="28"/>
    <w:semiHidden/>
    <w:qFormat/>
    <w:uiPriority w:val="0"/>
    <w:rPr>
      <w:rFonts w:ascii="宋体" w:hAnsi="Times New Roman"/>
      <w:sz w:val="18"/>
      <w:szCs w:val="18"/>
      <w:lang w:val="en-GB" w:eastAsia="en-US"/>
    </w:rPr>
  </w:style>
  <w:style w:type="character" w:customStyle="1" w:styleId="6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68">
    <w:name w:val="Heading 9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69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70">
    <w:name w:val="NO Char"/>
    <w:link w:val="71"/>
    <w:qFormat/>
    <w:uiPriority w:val="0"/>
    <w:rPr>
      <w:rFonts w:ascii="Times New Roman" w:hAnsi="Times New Roman"/>
      <w:lang w:val="zh-CN" w:eastAsia="en-US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lang w:val="zh-CN"/>
    </w:rPr>
  </w:style>
  <w:style w:type="character" w:customStyle="1" w:styleId="72">
    <w:name w:val="Endnote Text Char"/>
    <w:link w:val="36"/>
    <w:qFormat/>
    <w:uiPriority w:val="0"/>
    <w:rPr>
      <w:rFonts w:ascii="Times New Roman" w:hAnsi="Times New Roman" w:eastAsia="Yu Mincho"/>
      <w:lang w:eastAsia="en-US"/>
    </w:rPr>
  </w:style>
  <w:style w:type="character" w:customStyle="1" w:styleId="73">
    <w:name w:val="3GPP Normal Text Char"/>
    <w:link w:val="74"/>
    <w:qFormat/>
    <w:uiPriority w:val="0"/>
    <w:rPr>
      <w:rFonts w:ascii="Times New Roman" w:hAnsi="Times New Roman" w:eastAsia="MS Mincho"/>
      <w:sz w:val="22"/>
      <w:szCs w:val="24"/>
      <w:lang w:val="zh-CN" w:eastAsia="zh-CN"/>
    </w:rPr>
  </w:style>
  <w:style w:type="paragraph" w:customStyle="1" w:styleId="74">
    <w:name w:val="3GPP Normal Text"/>
    <w:basedOn w:val="30"/>
    <w:link w:val="73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75">
    <w:name w:val="ZGSM"/>
    <w:qFormat/>
    <w:uiPriority w:val="0"/>
  </w:style>
  <w:style w:type="character" w:customStyle="1" w:styleId="76">
    <w:name w:val="CR Cover Page Char"/>
    <w:link w:val="77"/>
    <w:qFormat/>
    <w:uiPriority w:val="0"/>
    <w:rPr>
      <w:rFonts w:ascii="Arial" w:hAnsi="Arial"/>
      <w:lang w:eastAsia="en-US"/>
    </w:rPr>
  </w:style>
  <w:style w:type="paragraph" w:customStyle="1" w:styleId="77">
    <w:name w:val="CR Cover Page"/>
    <w:link w:val="76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78">
    <w:name w:val="样式 页眉 Char"/>
    <w:link w:val="79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79">
    <w:name w:val="样式 页眉"/>
    <w:basedOn w:val="39"/>
    <w:link w:val="78"/>
    <w:qFormat/>
    <w:uiPriority w:val="0"/>
    <w:pPr>
      <w:widowControl w:val="0"/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60"/>
      <w:jc w:val="left"/>
      <w:textAlignment w:val="baseline"/>
    </w:pPr>
    <w:rPr>
      <w:rFonts w:ascii="Arial" w:hAnsi="Arial" w:eastAsia="Arial"/>
      <w:b/>
      <w:bCs/>
      <w:sz w:val="22"/>
      <w:szCs w:val="20"/>
    </w:rPr>
  </w:style>
  <w:style w:type="character" w:customStyle="1" w:styleId="80">
    <w:name w:val="Body Text Char"/>
    <w:link w:val="30"/>
    <w:qFormat/>
    <w:uiPriority w:val="0"/>
    <w:rPr>
      <w:rFonts w:ascii="Times New Roman" w:hAnsi="Times New Roman"/>
      <w:lang w:eastAsia="en-US"/>
    </w:rPr>
  </w:style>
  <w:style w:type="character" w:customStyle="1" w:styleId="81">
    <w:name w:val="批注主题 Char"/>
    <w:qFormat/>
    <w:uiPriority w:val="0"/>
    <w:rPr>
      <w:rFonts w:ascii="Times New Roman" w:hAnsi="Times New Roman"/>
      <w:lang w:val="en-GB" w:eastAsia="en-US"/>
    </w:rPr>
  </w:style>
  <w:style w:type="character" w:customStyle="1" w:styleId="82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paragraph" w:customStyle="1" w:styleId="83">
    <w:name w:val="PL"/>
    <w:link w:val="8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4">
    <w:name w:val="H6 Char"/>
    <w:link w:val="85"/>
    <w:qFormat/>
    <w:uiPriority w:val="0"/>
    <w:rPr>
      <w:rFonts w:ascii="Arial" w:hAnsi="Arial"/>
      <w:szCs w:val="18"/>
      <w:lang w:val="sv-SE" w:eastAsia="zh-CN"/>
    </w:rPr>
  </w:style>
  <w:style w:type="paragraph" w:customStyle="1" w:styleId="85">
    <w:name w:val="H6"/>
    <w:basedOn w:val="6"/>
    <w:next w:val="1"/>
    <w:link w:val="84"/>
    <w:qFormat/>
    <w:uiPriority w:val="0"/>
    <w:pPr>
      <w:numPr>
        <w:numId w:val="0"/>
      </w:numPr>
      <w:ind w:left="1985" w:hanging="1985"/>
      <w:outlineLvl w:val="9"/>
    </w:pPr>
    <w:rPr>
      <w:sz w:val="20"/>
      <w:szCs w:val="18"/>
      <w:lang w:val="sv-SE" w:eastAsia="zh-CN"/>
    </w:rPr>
  </w:style>
  <w:style w:type="character" w:customStyle="1" w:styleId="86">
    <w:name w:val="List Paragraph Char"/>
    <w:link w:val="87"/>
    <w:qFormat/>
    <w:locked/>
    <w:uiPriority w:val="34"/>
    <w:rPr>
      <w:rFonts w:ascii="Times New Roman" w:hAnsi="Times New Roman"/>
      <w:lang w:eastAsia="en-US"/>
    </w:rPr>
  </w:style>
  <w:style w:type="paragraph" w:styleId="87">
    <w:name w:val="List Paragraph"/>
    <w:basedOn w:val="1"/>
    <w:link w:val="86"/>
    <w:qFormat/>
    <w:uiPriority w:val="34"/>
    <w:pPr>
      <w:ind w:firstLine="420" w:firstLineChars="200"/>
    </w:pPr>
  </w:style>
  <w:style w:type="character" w:customStyle="1" w:styleId="88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89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1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92">
    <w:name w:val="TAC Char"/>
    <w:link w:val="93"/>
    <w:qFormat/>
    <w:uiPriority w:val="0"/>
    <w:rPr>
      <w:rFonts w:ascii="Arial" w:hAnsi="Arial" w:eastAsia="Times New Roman"/>
      <w:sz w:val="18"/>
      <w:lang w:eastAsia="en-GB"/>
    </w:rPr>
  </w:style>
  <w:style w:type="paragraph" w:customStyle="1" w:styleId="93">
    <w:name w:val="TAC"/>
    <w:basedOn w:val="1"/>
    <w:link w:val="92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hAnsi="Arial" w:eastAsia="Times New Roman"/>
      <w:sz w:val="18"/>
      <w:lang w:val="en-US" w:eastAsia="en-GB"/>
    </w:rPr>
  </w:style>
  <w:style w:type="character" w:customStyle="1" w:styleId="94">
    <w:name w:val="TAL Car"/>
    <w:link w:val="95"/>
    <w:qFormat/>
    <w:locked/>
    <w:uiPriority w:val="0"/>
    <w:rPr>
      <w:rFonts w:ascii="Arial" w:hAnsi="Arial" w:cs="Arial"/>
      <w:sz w:val="18"/>
      <w:szCs w:val="18"/>
      <w:lang w:val="en-GB" w:eastAsia="ja-JP"/>
    </w:rPr>
  </w:style>
  <w:style w:type="paragraph" w:customStyle="1" w:styleId="95">
    <w:name w:val="TAL"/>
    <w:basedOn w:val="1"/>
    <w:link w:val="94"/>
    <w:qFormat/>
    <w:uiPriority w:val="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character" w:customStyle="1" w:styleId="96">
    <w:name w:val="TH Char"/>
    <w:link w:val="97"/>
    <w:qFormat/>
    <w:locked/>
    <w:uiPriority w:val="0"/>
    <w:rPr>
      <w:rFonts w:ascii="Arial" w:hAnsi="Arial" w:cs="Arial"/>
      <w:b/>
      <w:bCs/>
      <w:lang w:val="en-GB" w:eastAsia="ja-JP"/>
    </w:rPr>
  </w:style>
  <w:style w:type="paragraph" w:customStyle="1" w:styleId="97">
    <w:name w:val="TH"/>
    <w:basedOn w:val="1"/>
    <w:link w:val="96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character" w:customStyle="1" w:styleId="98">
    <w:name w:val="TAN Char"/>
    <w:link w:val="99"/>
    <w:qFormat/>
    <w:uiPriority w:val="0"/>
    <w:rPr>
      <w:rFonts w:ascii="Arial" w:hAnsi="Arial" w:cs="Arial"/>
      <w:sz w:val="18"/>
      <w:szCs w:val="18"/>
      <w:lang w:val="en-GB" w:eastAsia="en-US"/>
    </w:rPr>
  </w:style>
  <w:style w:type="paragraph" w:customStyle="1" w:styleId="99">
    <w:name w:val="TAN"/>
    <w:basedOn w:val="95"/>
    <w:link w:val="98"/>
    <w:qFormat/>
    <w:uiPriority w:val="0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100">
    <w:name w:val="Footer Char"/>
    <w:link w:val="38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101">
    <w:name w:val="Date Char"/>
    <w:link w:val="34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102">
    <w:name w:val="texhtml"/>
    <w:basedOn w:val="51"/>
    <w:qFormat/>
    <w:uiPriority w:val="0"/>
  </w:style>
  <w:style w:type="character" w:customStyle="1" w:styleId="103">
    <w:name w:val="Comment Text Char"/>
    <w:link w:val="29"/>
    <w:qFormat/>
    <w:uiPriority w:val="99"/>
    <w:rPr>
      <w:rFonts w:ascii="Times New Roman" w:hAnsi="Times New Roman"/>
      <w:lang w:eastAsia="en-US"/>
    </w:rPr>
  </w:style>
  <w:style w:type="character" w:customStyle="1" w:styleId="104">
    <w:name w:val="Plain Text Char"/>
    <w:link w:val="31"/>
    <w:qFormat/>
    <w:uiPriority w:val="99"/>
    <w:rPr>
      <w:rFonts w:ascii="Courier New" w:hAnsi="Courier New"/>
      <w:lang w:val="nb-NO" w:eastAsia="en-US"/>
    </w:rPr>
  </w:style>
  <w:style w:type="character" w:customStyle="1" w:styleId="105">
    <w:name w:val="Body Text Indent 2 Char"/>
    <w:link w:val="35"/>
    <w:qFormat/>
    <w:uiPriority w:val="0"/>
    <w:rPr>
      <w:rFonts w:ascii="Arial" w:hAnsi="Arial" w:eastAsia="Yu Mincho"/>
      <w:sz w:val="22"/>
      <w:lang w:eastAsia="en-US"/>
    </w:rPr>
  </w:style>
  <w:style w:type="character" w:customStyle="1" w:styleId="106">
    <w:name w:val="Comment Subject Char"/>
    <w:link w:val="48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07">
    <w:name w:val="Guidance Char"/>
    <w:link w:val="108"/>
    <w:qFormat/>
    <w:uiPriority w:val="0"/>
    <w:rPr>
      <w:rFonts w:ascii="Times New Roman" w:hAnsi="Times New Roman"/>
      <w:i/>
      <w:color w:val="0000FF"/>
      <w:lang w:val="zh-CN" w:eastAsia="en-US"/>
    </w:rPr>
  </w:style>
  <w:style w:type="paragraph" w:customStyle="1" w:styleId="108">
    <w:name w:val="Guidance"/>
    <w:basedOn w:val="1"/>
    <w:link w:val="107"/>
    <w:qFormat/>
    <w:uiPriority w:val="0"/>
    <w:rPr>
      <w:i/>
      <w:color w:val="0000FF"/>
      <w:lang w:val="zh-CN"/>
    </w:rPr>
  </w:style>
  <w:style w:type="character" w:customStyle="1" w:styleId="109">
    <w:name w:val="B1 Char"/>
    <w:link w:val="110"/>
    <w:qFormat/>
    <w:uiPriority w:val="0"/>
    <w:rPr>
      <w:rFonts w:ascii="Times New Roman" w:hAnsi="Times New Roman"/>
      <w:lang w:eastAsia="en-US"/>
    </w:rPr>
  </w:style>
  <w:style w:type="paragraph" w:customStyle="1" w:styleId="110">
    <w:name w:val="B1"/>
    <w:basedOn w:val="13"/>
    <w:link w:val="109"/>
    <w:qFormat/>
    <w:uiPriority w:val="0"/>
  </w:style>
  <w:style w:type="character" w:customStyle="1" w:styleId="111">
    <w:name w:val="Caption Char"/>
    <w:link w:val="27"/>
    <w:qFormat/>
    <w:uiPriority w:val="0"/>
    <w:rPr>
      <w:rFonts w:ascii="Times New Roman" w:hAnsi="Times New Roman"/>
      <w:b/>
      <w:bCs/>
      <w:lang w:val="en-US" w:eastAsia="en-US"/>
    </w:rPr>
  </w:style>
  <w:style w:type="character" w:customStyle="1" w:styleId="112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13">
    <w:name w:val="Subtle Reference1"/>
    <w:qFormat/>
    <w:uiPriority w:val="31"/>
    <w:rPr>
      <w:smallCaps/>
      <w:color w:val="C0504D"/>
      <w:u w:val="single"/>
    </w:rPr>
  </w:style>
  <w:style w:type="character" w:customStyle="1" w:styleId="114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15">
    <w:name w:val="EQ Char"/>
    <w:link w:val="116"/>
    <w:qFormat/>
    <w:locked/>
    <w:uiPriority w:val="0"/>
    <w:rPr>
      <w:rFonts w:ascii="Times New Roman" w:hAnsi="Times New Roman"/>
      <w:lang w:eastAsia="en-US"/>
    </w:rPr>
  </w:style>
  <w:style w:type="paragraph" w:customStyle="1" w:styleId="116">
    <w:name w:val="EQ"/>
    <w:basedOn w:val="1"/>
    <w:next w:val="1"/>
    <w:link w:val="11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7">
    <w:name w:val="normaltextrun"/>
    <w:basedOn w:val="51"/>
    <w:qFormat/>
    <w:uiPriority w:val="0"/>
  </w:style>
  <w:style w:type="paragraph" w:customStyle="1" w:styleId="118">
    <w:name w:val="TF"/>
    <w:basedOn w:val="97"/>
    <w:qFormat/>
    <w:uiPriority w:val="0"/>
    <w:pPr>
      <w:keepNext w:val="0"/>
      <w:overflowPunct/>
      <w:autoSpaceDE/>
      <w:autoSpaceDN/>
      <w:adjustRightInd/>
      <w:spacing w:before="0" w:after="240"/>
    </w:pPr>
    <w:rPr>
      <w:rFonts w:cs="Times New Roman"/>
      <w:bCs w:val="0"/>
      <w:lang w:val="zh-CN" w:eastAsia="en-US"/>
    </w:rPr>
  </w:style>
  <w:style w:type="paragraph" w:customStyle="1" w:styleId="119">
    <w:name w:val="INDENT1"/>
    <w:basedOn w:val="1"/>
    <w:qFormat/>
    <w:uiPriority w:val="0"/>
    <w:pPr>
      <w:ind w:left="851"/>
    </w:pPr>
  </w:style>
  <w:style w:type="paragraph" w:customStyle="1" w:styleId="120">
    <w:name w:val="ZTD"/>
    <w:basedOn w:val="121"/>
    <w:qFormat/>
    <w:uiPriority w:val="0"/>
    <w:pPr>
      <w:framePr w:hRule="auto" w:y="852"/>
    </w:pPr>
    <w:rPr>
      <w:i w:val="0"/>
      <w:sz w:val="40"/>
    </w:rPr>
  </w:style>
  <w:style w:type="paragraph" w:customStyle="1" w:styleId="12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22">
    <w:name w:val="TAR"/>
    <w:basedOn w:val="95"/>
    <w:qFormat/>
    <w:uiPriority w:val="0"/>
    <w:pPr>
      <w:overflowPunct/>
      <w:autoSpaceDE/>
      <w:autoSpaceDN/>
      <w:adjustRightInd/>
      <w:jc w:val="right"/>
    </w:pPr>
    <w:rPr>
      <w:rFonts w:cs="Times New Roman"/>
      <w:szCs w:val="20"/>
      <w:lang w:val="zh-CN" w:eastAsia="en-US"/>
    </w:rPr>
  </w:style>
  <w:style w:type="paragraph" w:customStyle="1" w:styleId="123">
    <w:name w:val="B5"/>
    <w:basedOn w:val="42"/>
    <w:qFormat/>
    <w:uiPriority w:val="0"/>
  </w:style>
  <w:style w:type="paragraph" w:customStyle="1" w:styleId="124">
    <w:name w:val="B2"/>
    <w:basedOn w:val="12"/>
    <w:qFormat/>
    <w:uiPriority w:val="0"/>
  </w:style>
  <w:style w:type="paragraph" w:customStyle="1" w:styleId="125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paragraph" w:customStyle="1" w:styleId="126">
    <w:name w:val="B3"/>
    <w:basedOn w:val="11"/>
    <w:qFormat/>
    <w:uiPriority w:val="0"/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8">
    <w:name w:val="TT"/>
    <w:basedOn w:val="2"/>
    <w:next w:val="1"/>
    <w:qFormat/>
    <w:uiPriority w:val="0"/>
    <w:pPr>
      <w:tabs>
        <w:tab w:val="clear" w:pos="432"/>
      </w:tabs>
      <w:outlineLvl w:val="9"/>
    </w:pPr>
    <w:rPr>
      <w:lang w:val="sv-SE"/>
    </w:rPr>
  </w:style>
  <w:style w:type="paragraph" w:customStyle="1" w:styleId="129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32">
    <w:name w:val="EX"/>
    <w:basedOn w:val="1"/>
    <w:qFormat/>
    <w:uiPriority w:val="0"/>
    <w:pPr>
      <w:keepLines/>
      <w:ind w:left="1702" w:hanging="1418"/>
    </w:pPr>
  </w:style>
  <w:style w:type="paragraph" w:customStyle="1" w:styleId="13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NW"/>
    <w:basedOn w:val="71"/>
    <w:qFormat/>
    <w:uiPriority w:val="0"/>
    <w:pPr>
      <w:spacing w:after="0"/>
    </w:pPr>
  </w:style>
  <w:style w:type="paragraph" w:customStyle="1" w:styleId="136">
    <w:name w:val="INDENT3"/>
    <w:basedOn w:val="1"/>
    <w:qFormat/>
    <w:uiPriority w:val="0"/>
    <w:pPr>
      <w:ind w:left="1701" w:hanging="567"/>
    </w:pPr>
  </w:style>
  <w:style w:type="paragraph" w:customStyle="1" w:styleId="137">
    <w:name w:val="EW"/>
    <w:basedOn w:val="132"/>
    <w:qFormat/>
    <w:uiPriority w:val="0"/>
    <w:pPr>
      <w:spacing w:after="0"/>
    </w:pPr>
  </w:style>
  <w:style w:type="paragraph" w:customStyle="1" w:styleId="138">
    <w:name w:val="Editor's Note"/>
    <w:basedOn w:val="71"/>
    <w:qFormat/>
    <w:uiPriority w:val="0"/>
    <w:rPr>
      <w:color w:val="FF0000"/>
    </w:rPr>
  </w:style>
  <w:style w:type="paragraph" w:customStyle="1" w:styleId="1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0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1">
    <w:name w:val="B4"/>
    <w:basedOn w:val="43"/>
    <w:qFormat/>
    <w:uiPriority w:val="0"/>
  </w:style>
  <w:style w:type="paragraph" w:customStyle="1" w:styleId="14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6">
    <w:name w:val="ZV"/>
    <w:basedOn w:val="143"/>
    <w:qFormat/>
    <w:uiPriority w:val="0"/>
    <w:pPr>
      <w:framePr w:y="16161"/>
    </w:pPr>
  </w:style>
  <w:style w:type="paragraph" w:customStyle="1" w:styleId="147">
    <w:name w:val="INDENT2"/>
    <w:basedOn w:val="1"/>
    <w:qFormat/>
    <w:uiPriority w:val="0"/>
    <w:pPr>
      <w:ind w:left="1135" w:hanging="284"/>
    </w:pPr>
  </w:style>
  <w:style w:type="paragraph" w:customStyle="1" w:styleId="14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49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5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51">
    <w:name w:val="TAJ"/>
    <w:basedOn w:val="97"/>
    <w:qFormat/>
    <w:uiPriority w:val="0"/>
    <w:pPr>
      <w:overflowPunct/>
      <w:autoSpaceDE/>
      <w:autoSpaceDN/>
      <w:adjustRightInd/>
    </w:pPr>
    <w:rPr>
      <w:rFonts w:cs="Times New Roman"/>
      <w:bCs w:val="0"/>
      <w:lang w:val="zh-CN" w:eastAsia="en-US"/>
    </w:rPr>
  </w:style>
  <w:style w:type="paragraph" w:customStyle="1" w:styleId="152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53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styleId="154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5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table" w:customStyle="1" w:styleId="157">
    <w:name w:val="Table Grid1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">
    <w:name w:val="Table Grid3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9">
    <w:name w:val="font01"/>
    <w:basedOn w:val="5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2390C5-A3DD-4E73-BAA6-FFCF50F070B3}">
  <ds:schemaRefs/>
</ds:datastoreItem>
</file>

<file path=customXml/itemProps3.xml><?xml version="1.0" encoding="utf-8"?>
<ds:datastoreItem xmlns:ds="http://schemas.openxmlformats.org/officeDocument/2006/customXml" ds:itemID="{0C51F8B9-6FDA-4EF6-B1BE-F2CC81632464}">
  <ds:schemaRefs/>
</ds:datastoreItem>
</file>

<file path=customXml/itemProps4.xml><?xml version="1.0" encoding="utf-8"?>
<ds:datastoreItem xmlns:ds="http://schemas.openxmlformats.org/officeDocument/2006/customXml" ds:itemID="{112C941A-E0E2-49B2-AE14-A71704B58B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3</Pages>
  <Words>684</Words>
  <Characters>3903</Characters>
  <Lines>32</Lines>
  <Paragraphs>9</Paragraphs>
  <TotalTime>7</TotalTime>
  <ScaleCrop>false</ScaleCrop>
  <LinksUpToDate>false</LinksUpToDate>
  <CharactersWithSpaces>4578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2022-05-20T15:43:00Z</dcterms:created>
  <dc:creator>Dai Xizeng</dc:creator>
  <cp:lastModifiedBy>ZTE,Fei Xue</cp:lastModifiedBy>
  <dcterms:modified xsi:type="dcterms:W3CDTF">2023-05-26T00:03:44Z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(3)Fb5PqwPtl06rfc3vYfrZANtogZPxzZJ0MUomUDPW4cNd81azU4Va4RnlVbArNfEl7+5ffbfG
Jgx4c13KC00FoE+quhdsxDcFaHA+T//A9Z3+48flsosiDbJKK02qA9X/kh1RO4bQ/z/9g/A6
TJ10SIncVODVVZfdrKmcZ3x53MfLeyQ9V5nOeVL2UVgz3jvKtPdr/FFKv9Cj4UyAfR5Q7PVg
grBffR1jYV4iANSLxd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zgBnXsrv8zpQiHtKAtBNgOOIoumfgwmeK7ciqkEtd+wueC4OKEo3x0
ZyeMyXCWerHy0hqGtyouzry9RFTT/uQWIHeXcWKasFSTJJBVL8fYH9Nrb0OQv6MN9pJ2NWpz
cloAU3cbgG/xFWm3YXmQpIMgDL4WOsLVFQElI6f7Eo0CyI4ONYY0iAjRM05bVrQo+yYqynCm
mYa4FNPEr36iLhMgKWcjdjRMhstbjPJIBcAP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PA==</vt:lpwstr>
  </property>
  <property fmtid="{D5CDD505-2E9C-101B-9397-08002B2CF9AE}" pid="14" name="KSOProductBuildVer">
    <vt:lpwstr>2052-11.8.2.8875</vt:lpwstr>
  </property>
  <property fmtid="{D5CDD505-2E9C-101B-9397-08002B2CF9AE}" pid="15" name="ContentTypeId">
    <vt:lpwstr>0x010100F3E9551B3FDDA24EBF0A209BAAD637CA</vt:lpwstr>
  </property>
  <property fmtid="{D5CDD505-2E9C-101B-9397-08002B2CF9AE}" pid="16" name="MediaServiceImageTags">
    <vt:lpwstr/>
  </property>
</Properties>
</file>